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41886A06" w:rsidR="00A10131" w:rsidRDefault="00311C08" w:rsidP="00A10131">
            <w:pPr>
              <w:pStyle w:val="DocumentTitle"/>
            </w:pPr>
            <w:r>
              <w:t>Data Management</w:t>
            </w:r>
            <w:r w:rsidR="008A239A">
              <w:t>–</w:t>
            </w:r>
            <w:r w:rsidR="00D2145E">
              <w:t xml:space="preserve">Assessment </w:t>
            </w:r>
            <w:r w:rsidR="00457108">
              <w:t>2</w:t>
            </w:r>
          </w:p>
          <w:p w14:paraId="715C1323" w14:textId="745713B5" w:rsidR="00457108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457108">
              <w:t xml:space="preserve">Case Study: </w:t>
            </w:r>
            <w:proofErr w:type="spellStart"/>
            <w:r w:rsidR="00457108">
              <w:t>MLHealth</w:t>
            </w:r>
            <w:proofErr w:type="spellEnd"/>
            <w:r w:rsidR="00457108">
              <w:t>/</w:t>
            </w:r>
            <w:proofErr w:type="spellStart"/>
            <w:r w:rsidR="00457108">
              <w:t>TriCARE</w:t>
            </w:r>
            <w:proofErr w:type="spellEnd"/>
            <w:r w:rsidR="00457108">
              <w:t xml:space="preserve"> – </w:t>
            </w:r>
            <w:r w:rsidR="00457108" w:rsidRPr="00457108">
              <w:rPr>
                <w:i/>
                <w:iCs/>
              </w:rPr>
              <w:t>Predict</w:t>
            </w:r>
            <w:r w:rsidR="00457108">
              <w:t xml:space="preserve"> Project.</w:t>
            </w:r>
          </w:p>
          <w:p w14:paraId="4B9BF978" w14:textId="3EA52DC2" w:rsidR="00457108" w:rsidRDefault="00457108" w:rsidP="00B8629F">
            <w:pPr>
              <w:pStyle w:val="ProjectName"/>
              <w:tabs>
                <w:tab w:val="left" w:pos="7995"/>
              </w:tabs>
            </w:pPr>
            <w:r>
              <w:t>Data Management Plan</w:t>
            </w:r>
          </w:p>
          <w:p w14:paraId="4423F3F8" w14:textId="4940A25A" w:rsidR="007940C4" w:rsidRDefault="00457108" w:rsidP="00457108">
            <w:pPr>
              <w:pStyle w:val="ProjectName"/>
              <w:tabs>
                <w:tab w:val="left" w:pos="7995"/>
              </w:tabs>
            </w:pPr>
            <w:r>
              <w:t>Data Protection Impact Assessment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635C198A" w:rsidR="007940C4" w:rsidRDefault="00311C08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457108">
              <w:rPr>
                <w:sz w:val="32"/>
              </w:rPr>
              <w:t>5</w:t>
            </w:r>
            <w:r w:rsidR="008A239A">
              <w:rPr>
                <w:sz w:val="32"/>
              </w:rPr>
              <w:t>/</w:t>
            </w:r>
            <w:r w:rsidR="00457108">
              <w:rPr>
                <w:sz w:val="32"/>
              </w:rPr>
              <w:t>4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301607AB" w14:textId="78E9D17C" w:rsidR="00091A14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091A14">
        <w:rPr>
          <w:noProof/>
        </w:rPr>
        <w:t>1</w:t>
      </w:r>
      <w:r w:rsidR="00091A14">
        <w:rPr>
          <w:noProof/>
        </w:rPr>
        <w:tab/>
        <w:t>Introduction</w:t>
      </w:r>
      <w:r w:rsidR="00091A14">
        <w:rPr>
          <w:noProof/>
        </w:rPr>
        <w:tab/>
      </w:r>
      <w:r w:rsidR="00091A14">
        <w:rPr>
          <w:noProof/>
        </w:rPr>
        <w:fldChar w:fldCharType="begin"/>
      </w:r>
      <w:r w:rsidR="00091A14">
        <w:rPr>
          <w:noProof/>
        </w:rPr>
        <w:instrText xml:space="preserve"> PAGEREF _Toc102684257 \h </w:instrText>
      </w:r>
      <w:r w:rsidR="00091A14">
        <w:rPr>
          <w:noProof/>
        </w:rPr>
      </w:r>
      <w:r w:rsidR="00091A14">
        <w:rPr>
          <w:noProof/>
        </w:rPr>
        <w:fldChar w:fldCharType="separate"/>
      </w:r>
      <w:r w:rsidR="00091A14">
        <w:rPr>
          <w:noProof/>
        </w:rPr>
        <w:t>3</w:t>
      </w:r>
      <w:r w:rsidR="00091A14">
        <w:rPr>
          <w:noProof/>
        </w:rPr>
        <w:fldChar w:fldCharType="end"/>
      </w:r>
    </w:p>
    <w:p w14:paraId="5830F9DF" w14:textId="42C675A7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EEB62D" w14:textId="0E94D030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The 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CFD835" w14:textId="183AF8E3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The 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A62666" w14:textId="2510A7E8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BD2EC" w14:textId="48F9F526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Project Predict: Data Flow Lifecycle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78697" w14:textId="13910213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Project Predict: Data Quality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734D6A" w14:textId="6A679832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Project Predict: Data Bias and Remediation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D870B" w14:textId="4CA45269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Project Predict: Data Privacy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E278EE" w14:textId="1A168F5C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460453" w14:textId="17C4E19D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Project Predict: Basis for Lawful Data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20B108" w14:textId="687713FA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Project Predict: data Controllers and Processors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44152" w14:textId="3839C336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Project Predict: Safeguards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BAB038" w14:textId="013F20E5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3.4</w:t>
      </w:r>
      <w:r>
        <w:rPr>
          <w:noProof/>
        </w:rPr>
        <w:tab/>
        <w:t>Project Predict: Data Collection and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72E7C" w14:textId="05ECD87B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3.5</w:t>
      </w:r>
      <w:r>
        <w:rPr>
          <w:noProof/>
        </w:rPr>
        <w:tab/>
        <w:t>Project Predict: Ethical and Privacy Risk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8F123B" w14:textId="69CB8E0E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BB2A57" w14:textId="73DD9CD6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06A46" w14:textId="7F541B53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0D53A83E" w14:textId="77777777" w:rsidR="00570925" w:rsidRDefault="00570925" w:rsidP="00570925">
      <w:pPr>
        <w:tabs>
          <w:tab w:val="left" w:pos="2130"/>
        </w:tabs>
      </w:pPr>
      <w:r>
        <w:tab/>
      </w:r>
    </w:p>
    <w:p w14:paraId="7B98D6C3" w14:textId="77777777" w:rsidR="00457108" w:rsidRPr="00457108" w:rsidRDefault="00457108" w:rsidP="00457108"/>
    <w:p w14:paraId="4A6300F3" w14:textId="77777777" w:rsidR="00457108" w:rsidRPr="00457108" w:rsidRDefault="00457108" w:rsidP="00457108"/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17F92FB9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6D5893F5" w14:textId="2F1CC5EB" w:rsidR="00457108" w:rsidRPr="00457108" w:rsidRDefault="00457108" w:rsidP="00457108">
      <w:pPr>
        <w:tabs>
          <w:tab w:val="left" w:pos="3429"/>
        </w:tabs>
        <w:sectPr w:rsidR="00457108" w:rsidRPr="00457108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Ref97151679"/>
      <w:bookmarkStart w:id="1" w:name="_Toc102684257"/>
      <w:r>
        <w:lastRenderedPageBreak/>
        <w:t>Introduction</w:t>
      </w:r>
      <w:bookmarkEnd w:id="0"/>
      <w:bookmarkEnd w:id="1"/>
    </w:p>
    <w:p w14:paraId="24AC7762" w14:textId="7F077E43" w:rsidR="001B504D" w:rsidRPr="001B504D" w:rsidRDefault="0054498D" w:rsidP="001B504D">
      <w:pPr>
        <w:pStyle w:val="Heading2"/>
      </w:pPr>
      <w:bookmarkStart w:id="2" w:name="_Toc102684258"/>
      <w:r>
        <w:t>Purpose of Report</w:t>
      </w:r>
      <w:bookmarkEnd w:id="2"/>
    </w:p>
    <w:p w14:paraId="7F3057A9" w14:textId="5E5A6FF3" w:rsidR="000F6A58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4E859A43" w14:textId="58890DC8" w:rsidR="0054498D" w:rsidRPr="00246BF8" w:rsidRDefault="0054498D" w:rsidP="00246BF8">
      <w:pPr>
        <w:spacing w:line="360" w:lineRule="auto"/>
        <w:rPr>
          <w:sz w:val="24"/>
        </w:rPr>
      </w:pPr>
    </w:p>
    <w:p w14:paraId="1CE29769" w14:textId="77777777" w:rsidR="0054498D" w:rsidRDefault="0054498D" w:rsidP="000F6A58"/>
    <w:p w14:paraId="3D17C7C7" w14:textId="2C212952" w:rsidR="0054498D" w:rsidRPr="001B504D" w:rsidRDefault="0054498D" w:rsidP="0054498D">
      <w:pPr>
        <w:pStyle w:val="Heading2"/>
      </w:pPr>
      <w:bookmarkStart w:id="3" w:name="_Toc102684259"/>
      <w:r>
        <w:t>The Data Management Plan</w:t>
      </w:r>
      <w:bookmarkEnd w:id="3"/>
    </w:p>
    <w:p w14:paraId="5457F58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0A38B8D7" w14:textId="4D7447BD" w:rsidR="0054498D" w:rsidRPr="00246BF8" w:rsidRDefault="0054498D" w:rsidP="00246BF8">
      <w:pPr>
        <w:spacing w:line="360" w:lineRule="auto"/>
        <w:rPr>
          <w:sz w:val="24"/>
        </w:rPr>
      </w:pPr>
    </w:p>
    <w:p w14:paraId="00F100DF" w14:textId="38BB0B02" w:rsidR="0054498D" w:rsidRDefault="0054498D" w:rsidP="000F6A58"/>
    <w:p w14:paraId="370145E9" w14:textId="2A6DFCD4" w:rsidR="0054498D" w:rsidRPr="001B504D" w:rsidRDefault="0054498D" w:rsidP="0054498D">
      <w:pPr>
        <w:pStyle w:val="Heading2"/>
      </w:pPr>
      <w:bookmarkStart w:id="4" w:name="_Toc102684260"/>
      <w:r>
        <w:t>The Data Protection Impact Assessment</w:t>
      </w:r>
      <w:bookmarkEnd w:id="4"/>
    </w:p>
    <w:p w14:paraId="46E3D3A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7AA214B4" w14:textId="77777777" w:rsidR="0054498D" w:rsidRPr="00246BF8" w:rsidRDefault="0054498D" w:rsidP="00246BF8">
      <w:pPr>
        <w:spacing w:line="360" w:lineRule="auto"/>
        <w:rPr>
          <w:sz w:val="24"/>
        </w:rPr>
      </w:pPr>
    </w:p>
    <w:p w14:paraId="1EDED1EA" w14:textId="6527C2DD" w:rsidR="000F6A58" w:rsidRPr="000F6A58" w:rsidRDefault="000F6A58" w:rsidP="000F6A58"/>
    <w:p w14:paraId="416B95B7" w14:textId="575B69DE" w:rsidR="000F6A58" w:rsidRPr="000F6A58" w:rsidRDefault="000F6A58" w:rsidP="000F6A58"/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46607A7E" w:rsidR="00921320" w:rsidRDefault="0054498D" w:rsidP="00921320">
      <w:pPr>
        <w:pStyle w:val="Heading1"/>
      </w:pPr>
      <w:bookmarkStart w:id="5" w:name="_Toc102684261"/>
      <w:r>
        <w:lastRenderedPageBreak/>
        <w:t>Data Management Plan</w:t>
      </w:r>
      <w:bookmarkEnd w:id="5"/>
    </w:p>
    <w:p w14:paraId="1BD703FE" w14:textId="066D8CA3" w:rsidR="00A82212" w:rsidRDefault="007D01F5" w:rsidP="00921320">
      <w:pPr>
        <w:pStyle w:val="Heading2"/>
      </w:pPr>
      <w:bookmarkStart w:id="6" w:name="_Toc102684262"/>
      <w:r>
        <w:t xml:space="preserve">Project Predict: Data Flow </w:t>
      </w:r>
      <w:r w:rsidR="004A5AAA">
        <w:t>Lifecycle</w:t>
      </w:r>
      <w:bookmarkEnd w:id="6"/>
    </w:p>
    <w:p w14:paraId="33B90A54" w14:textId="0729181A" w:rsidR="004A5AAA" w:rsidRPr="00F25ED0" w:rsidRDefault="004A5AAA" w:rsidP="00F25ED0">
      <w:pPr>
        <w:spacing w:line="360" w:lineRule="auto"/>
        <w:rPr>
          <w:sz w:val="24"/>
        </w:rPr>
      </w:pPr>
      <w:r w:rsidRPr="00F25ED0">
        <w:rPr>
          <w:sz w:val="24"/>
        </w:rPr>
        <w:t>System data flow diagrams can often follow a Context Diagram/ Diagram 0 format</w:t>
      </w:r>
      <w:r w:rsidRPr="00F25ED0">
        <w:rPr>
          <w:b/>
          <w:bCs/>
          <w:sz w:val="24"/>
          <w:vertAlign w:val="superscript"/>
        </w:rPr>
        <w:t>[1]</w:t>
      </w:r>
      <w:r w:rsidRPr="00F25ED0">
        <w:rPr>
          <w:sz w:val="24"/>
        </w:rPr>
        <w:t xml:space="preserve">, but for our purposes we need to understand the lifecycle of data as it moves through the  </w:t>
      </w:r>
      <w:r w:rsidRPr="00F25ED0">
        <w:rPr>
          <w:b/>
          <w:bCs/>
          <w:i/>
          <w:iCs/>
          <w:sz w:val="24"/>
        </w:rPr>
        <w:t>Predict</w:t>
      </w:r>
      <w:r w:rsidRPr="00F25ED0">
        <w:rPr>
          <w:b/>
          <w:bCs/>
          <w:sz w:val="24"/>
        </w:rPr>
        <w:t xml:space="preserve"> Project</w:t>
      </w:r>
      <w:r w:rsidRPr="00F25ED0">
        <w:rPr>
          <w:sz w:val="24"/>
        </w:rPr>
        <w:t>.</w:t>
      </w:r>
    </w:p>
    <w:p w14:paraId="7953A5F3" w14:textId="63F62104" w:rsidR="004D37DF" w:rsidRDefault="004A5AAA" w:rsidP="005B00E0">
      <w:pPr>
        <w:spacing w:line="360" w:lineRule="auto"/>
        <w:rPr>
          <w:sz w:val="24"/>
        </w:rPr>
      </w:pPr>
      <w:r w:rsidRPr="00F25ED0">
        <w:rPr>
          <w:sz w:val="24"/>
        </w:rPr>
        <w:t>The diagram below borrows from the circular format used by Folio3 Dynamics</w:t>
      </w:r>
      <w:r w:rsidRPr="00F25ED0">
        <w:rPr>
          <w:b/>
          <w:bCs/>
          <w:sz w:val="24"/>
          <w:vertAlign w:val="superscript"/>
        </w:rPr>
        <w:t>[2]</w:t>
      </w:r>
      <w:r w:rsidRPr="00F25ED0">
        <w:rPr>
          <w:sz w:val="24"/>
        </w:rPr>
        <w:t xml:space="preserve"> to represent the key data lifecycle phases</w:t>
      </w:r>
      <w:r w:rsidR="002E1965" w:rsidRPr="00F25ED0">
        <w:rPr>
          <w:sz w:val="24"/>
        </w:rPr>
        <w:t xml:space="preserve"> for the project</w:t>
      </w:r>
      <w:r w:rsidRPr="00F25ED0">
        <w:rPr>
          <w:sz w:val="24"/>
        </w:rPr>
        <w:t>.</w:t>
      </w:r>
      <w:r w:rsidR="003E2B97">
        <w:rPr>
          <w:sz w:val="24"/>
        </w:rPr>
        <w:t xml:space="preserve"> </w:t>
      </w:r>
      <w:r w:rsidR="00126D75" w:rsidRPr="00F25ED0">
        <w:rPr>
          <w:sz w:val="24"/>
        </w:rPr>
        <w:t xml:space="preserve">Stakeholders </w:t>
      </w:r>
      <w:r w:rsidR="001C7947" w:rsidRPr="00F25ED0">
        <w:rPr>
          <w:sz w:val="24"/>
        </w:rPr>
        <w:t xml:space="preserve">and individuals </w:t>
      </w:r>
      <w:r w:rsidR="00126D75" w:rsidRPr="00F25ED0">
        <w:rPr>
          <w:sz w:val="24"/>
        </w:rPr>
        <w:t xml:space="preserve">are marked in </w:t>
      </w:r>
      <w:r w:rsidR="00126D75" w:rsidRPr="00F25ED0">
        <w:rPr>
          <w:b/>
          <w:bCs/>
          <w:i/>
          <w:iCs/>
          <w:color w:val="4F81BD" w:themeColor="accent1"/>
          <w:sz w:val="24"/>
        </w:rPr>
        <w:t>Italic Blue</w:t>
      </w:r>
      <w:r w:rsidR="00126D75" w:rsidRPr="00F25ED0">
        <w:rPr>
          <w:color w:val="4F81BD" w:themeColor="accent1"/>
          <w:sz w:val="24"/>
        </w:rPr>
        <w:t xml:space="preserve"> </w:t>
      </w:r>
      <w:r w:rsidR="00126D75" w:rsidRPr="00F25ED0">
        <w:rPr>
          <w:sz w:val="24"/>
        </w:rPr>
        <w:t>and the associated data types that are input/output by each phase are included.</w:t>
      </w:r>
      <w:r w:rsidR="00A75A44">
        <w:rPr>
          <w:noProof/>
          <w:sz w:val="24"/>
        </w:rPr>
        <w:drawing>
          <wp:inline distT="0" distB="0" distL="0" distR="0" wp14:anchorId="781F7E3B" wp14:editId="0555F82A">
            <wp:extent cx="5883910" cy="497205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387A" w14:textId="511ABDA8" w:rsidR="001C7947" w:rsidRDefault="001C7947" w:rsidP="005B00E0">
      <w:pPr>
        <w:spacing w:line="360" w:lineRule="auto"/>
        <w:rPr>
          <w:sz w:val="24"/>
        </w:rPr>
      </w:pPr>
      <w:r>
        <w:rPr>
          <w:sz w:val="24"/>
        </w:rPr>
        <w:t xml:space="preserve">Figure 1 – Predict Project Data Lifecycle </w:t>
      </w:r>
    </w:p>
    <w:p w14:paraId="3419C478" w14:textId="32B629B0" w:rsidR="008E1694" w:rsidRPr="005B00E0" w:rsidRDefault="001C7947" w:rsidP="001C7947">
      <w:pPr>
        <w:spacing w:line="360" w:lineRule="auto"/>
        <w:rPr>
          <w:b/>
          <w:bCs/>
          <w:iCs/>
          <w:color w:val="3C8D94"/>
          <w:sz w:val="24"/>
        </w:rPr>
      </w:pPr>
      <w:r>
        <w:rPr>
          <w:sz w:val="24"/>
        </w:rPr>
        <w:t>For the purposes of this report the ML process is considered as an independent entity. It generates a triage recommendation and will ultimately act as a proxy for assessments carried out by nurses.</w:t>
      </w:r>
      <w:r w:rsidR="008E1694" w:rsidRPr="005B00E0">
        <w:rPr>
          <w:sz w:val="24"/>
        </w:rPr>
        <w:br w:type="page"/>
      </w:r>
    </w:p>
    <w:p w14:paraId="55433FD8" w14:textId="7F63D61B" w:rsidR="00EE3F72" w:rsidRDefault="00EE3F72" w:rsidP="00EE3F72">
      <w:pPr>
        <w:pStyle w:val="Heading2"/>
      </w:pPr>
      <w:bookmarkStart w:id="7" w:name="_Toc102684263"/>
      <w:r>
        <w:lastRenderedPageBreak/>
        <w:t xml:space="preserve">Project Predict: Data </w:t>
      </w:r>
      <w:r w:rsidR="008E1694">
        <w:t>Quality Issues</w:t>
      </w:r>
      <w:bookmarkEnd w:id="7"/>
    </w:p>
    <w:p w14:paraId="0FF527E6" w14:textId="29D24C4E" w:rsidR="00EE3F72" w:rsidRDefault="008E1694" w:rsidP="00EE3F72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0567EFB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C0D4CAB" w14:textId="77777777" w:rsidR="00EE3F72" w:rsidRPr="007D01F5" w:rsidRDefault="00EE3F72" w:rsidP="007D01F5"/>
    <w:p w14:paraId="7983FA1A" w14:textId="2C577F0C" w:rsidR="003E44EE" w:rsidRDefault="003E44EE" w:rsidP="00DC0994">
      <w:pPr>
        <w:rPr>
          <w:b/>
          <w:bCs/>
          <w:iCs/>
          <w:color w:val="3C8D94"/>
          <w:sz w:val="26"/>
          <w:szCs w:val="28"/>
        </w:rPr>
      </w:pPr>
    </w:p>
    <w:p w14:paraId="33B1AE13" w14:textId="426FEA04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1BC41117" w14:textId="43DAEDDB" w:rsidR="008E1694" w:rsidRDefault="008E1694" w:rsidP="008E1694">
      <w:pPr>
        <w:pStyle w:val="Heading2"/>
      </w:pPr>
      <w:bookmarkStart w:id="8" w:name="_Toc102684264"/>
      <w:r>
        <w:t>Project Predict: Data Bias and Remediation</w:t>
      </w:r>
      <w:bookmarkEnd w:id="8"/>
    </w:p>
    <w:p w14:paraId="4BD06650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14F1E56E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5A71707F" w14:textId="0620977F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2B609318" w14:textId="32F7BCC9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655267BF" w14:textId="05F0A61C" w:rsidR="008E1694" w:rsidRDefault="008E1694" w:rsidP="008E1694">
      <w:pPr>
        <w:pStyle w:val="Heading2"/>
      </w:pPr>
      <w:bookmarkStart w:id="9" w:name="_Toc102684265"/>
      <w:r>
        <w:t>Project Predict: Data Privacy and Security</w:t>
      </w:r>
      <w:bookmarkEnd w:id="9"/>
    </w:p>
    <w:p w14:paraId="2563065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2F63BE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5124648" w14:textId="77777777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54F4EF71" w14:textId="4D8326D4" w:rsidR="004952E4" w:rsidRDefault="004952E4" w:rsidP="004952E4">
      <w:pPr>
        <w:pStyle w:val="Heading1"/>
      </w:pPr>
      <w:bookmarkStart w:id="10" w:name="_Toc102684266"/>
      <w:r>
        <w:lastRenderedPageBreak/>
        <w:t xml:space="preserve">Data </w:t>
      </w:r>
      <w:r w:rsidR="0054498D">
        <w:t>Protection Impact Assessment</w:t>
      </w:r>
      <w:bookmarkEnd w:id="10"/>
    </w:p>
    <w:p w14:paraId="394B4FD3" w14:textId="338F3FD3" w:rsidR="004952E4" w:rsidRDefault="008E1694" w:rsidP="00F0042E">
      <w:pPr>
        <w:pStyle w:val="Heading2"/>
      </w:pPr>
      <w:bookmarkStart w:id="11" w:name="_Toc102684267"/>
      <w:r>
        <w:t>Project Predict: Basis for Lawful Data Processing</w:t>
      </w:r>
      <w:bookmarkEnd w:id="11"/>
    </w:p>
    <w:p w14:paraId="5994B5FC" w14:textId="4A5FE9A5" w:rsidR="00B505BF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1A20BDDC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5C934DE9" w14:textId="4FF5D998" w:rsidR="008E1694" w:rsidRDefault="008E1694" w:rsidP="008E1694">
      <w:pPr>
        <w:spacing w:line="360" w:lineRule="auto"/>
        <w:rPr>
          <w:lang w:val="en-IE"/>
        </w:rPr>
      </w:pPr>
    </w:p>
    <w:p w14:paraId="70AFF44B" w14:textId="3A02536F" w:rsidR="008E1694" w:rsidRDefault="008E1694" w:rsidP="008E1694">
      <w:pPr>
        <w:pStyle w:val="Heading2"/>
      </w:pPr>
      <w:bookmarkStart w:id="12" w:name="_Toc102684268"/>
      <w:r>
        <w:t>Project Predict: data Controllers and Processors</w:t>
      </w:r>
      <w:bookmarkEnd w:id="12"/>
    </w:p>
    <w:p w14:paraId="293BC60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28B9DB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5A97310" w14:textId="75DFC51D" w:rsidR="008E1694" w:rsidRDefault="008E1694" w:rsidP="008E1694">
      <w:pPr>
        <w:spacing w:line="360" w:lineRule="auto"/>
        <w:rPr>
          <w:lang w:val="en-IE"/>
        </w:rPr>
      </w:pPr>
    </w:p>
    <w:p w14:paraId="3E1C1B41" w14:textId="79B4EE27" w:rsidR="008E1694" w:rsidRDefault="008E1694" w:rsidP="008E1694">
      <w:pPr>
        <w:pStyle w:val="Heading2"/>
      </w:pPr>
      <w:bookmarkStart w:id="13" w:name="_Toc102684269"/>
      <w:r>
        <w:t>Project Predict: Safeguards</w:t>
      </w:r>
      <w:bookmarkEnd w:id="13"/>
    </w:p>
    <w:p w14:paraId="574E663A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B4A233" w14:textId="609C65B0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AF5F0FE" w14:textId="782B3B3A" w:rsidR="008E1694" w:rsidRDefault="008E1694" w:rsidP="008E1694">
      <w:pPr>
        <w:spacing w:line="360" w:lineRule="auto"/>
        <w:rPr>
          <w:sz w:val="24"/>
        </w:rPr>
      </w:pPr>
    </w:p>
    <w:p w14:paraId="006CDE91" w14:textId="01A252C2" w:rsidR="008E1694" w:rsidRDefault="008E1694" w:rsidP="008E1694">
      <w:pPr>
        <w:pStyle w:val="Heading2"/>
      </w:pPr>
      <w:bookmarkStart w:id="14" w:name="_Toc102684270"/>
      <w:r>
        <w:t>Project Predict: Data Collection and Consent</w:t>
      </w:r>
      <w:bookmarkEnd w:id="14"/>
    </w:p>
    <w:p w14:paraId="6BA31A1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B2C039F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D8C231F" w14:textId="3A2DE2B7" w:rsidR="008E1694" w:rsidRDefault="008E1694" w:rsidP="008E1694">
      <w:pPr>
        <w:spacing w:line="360" w:lineRule="auto"/>
        <w:rPr>
          <w:sz w:val="24"/>
        </w:rPr>
      </w:pPr>
    </w:p>
    <w:p w14:paraId="0D5F6425" w14:textId="1F9194DE" w:rsidR="008E1694" w:rsidRDefault="008E1694" w:rsidP="008E1694">
      <w:pPr>
        <w:spacing w:line="360" w:lineRule="auto"/>
        <w:rPr>
          <w:sz w:val="24"/>
        </w:rPr>
      </w:pPr>
    </w:p>
    <w:p w14:paraId="3C15DB4D" w14:textId="77777777" w:rsidR="0076163C" w:rsidRDefault="0076163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014278C" w14:textId="32352694" w:rsidR="008E1694" w:rsidRDefault="008E1694" w:rsidP="008E1694">
      <w:pPr>
        <w:pStyle w:val="Heading2"/>
      </w:pPr>
      <w:bookmarkStart w:id="15" w:name="_Toc102684271"/>
      <w:r>
        <w:lastRenderedPageBreak/>
        <w:t>Project Predict: Ethical and Privacy Risk Matrix</w:t>
      </w:r>
      <w:bookmarkEnd w:id="15"/>
    </w:p>
    <w:p w14:paraId="203DD77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F7FAD25" w14:textId="257E3CDA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6F14AAA" w14:textId="40E0F0E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&lt;Diagram&gt;</w:t>
      </w:r>
    </w:p>
    <w:p w14:paraId="72B9080F" w14:textId="77777777" w:rsidR="005E2B47" w:rsidRDefault="005E2B47" w:rsidP="004952E4"/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1AA35A9B" w:rsidR="007756B7" w:rsidRDefault="007756B7" w:rsidP="007756B7">
      <w:pPr>
        <w:pStyle w:val="Heading1"/>
      </w:pPr>
      <w:bookmarkStart w:id="16" w:name="_Toc102684272"/>
      <w:r>
        <w:lastRenderedPageBreak/>
        <w:t>Conclusions</w:t>
      </w:r>
      <w:bookmarkEnd w:id="16"/>
    </w:p>
    <w:p w14:paraId="5ED6E4E9" w14:textId="0EA025DC" w:rsidR="00457108" w:rsidRPr="002653F4" w:rsidRDefault="004A43C1" w:rsidP="00246BF8">
      <w:pPr>
        <w:spacing w:line="360" w:lineRule="auto"/>
        <w:rPr>
          <w:sz w:val="24"/>
        </w:rPr>
      </w:pPr>
      <w:r w:rsidRPr="002653F4">
        <w:rPr>
          <w:sz w:val="24"/>
        </w:rPr>
        <w:t xml:space="preserve">One could </w:t>
      </w:r>
      <w:r w:rsidR="00457108">
        <w:rPr>
          <w:sz w:val="24"/>
        </w:rPr>
        <w:t>ipso lorem…</w:t>
      </w:r>
    </w:p>
    <w:p w14:paraId="1DF9E603" w14:textId="3E6476A9" w:rsidR="00E75788" w:rsidRPr="002653F4" w:rsidRDefault="00E75788" w:rsidP="00246BF8">
      <w:pPr>
        <w:spacing w:line="360" w:lineRule="auto"/>
        <w:rPr>
          <w:sz w:val="24"/>
        </w:rPr>
      </w:pPr>
      <w:r w:rsidRPr="002653F4">
        <w:rPr>
          <w:sz w:val="24"/>
        </w:rPr>
        <w:t>.</w:t>
      </w:r>
    </w:p>
    <w:p w14:paraId="34C16895" w14:textId="567F199B" w:rsidR="007B7884" w:rsidRDefault="007B7884" w:rsidP="00246BF8">
      <w:pPr>
        <w:spacing w:line="360" w:lineRule="auto"/>
      </w:pPr>
    </w:p>
    <w:p w14:paraId="4E649EC6" w14:textId="052BFD4E" w:rsidR="007756B7" w:rsidRDefault="007756B7" w:rsidP="007756B7"/>
    <w:p w14:paraId="5FB8E5F7" w14:textId="5D539D3F" w:rsidR="007756B7" w:rsidRDefault="007756B7" w:rsidP="007756B7">
      <w:pPr>
        <w:pStyle w:val="Heading1"/>
      </w:pPr>
      <w:bookmarkStart w:id="17" w:name="_Toc102684273"/>
      <w:r>
        <w:lastRenderedPageBreak/>
        <w:t>References</w:t>
      </w:r>
      <w:bookmarkEnd w:id="17"/>
    </w:p>
    <w:p w14:paraId="1A9AC967" w14:textId="77777777" w:rsidR="005E40CD" w:rsidRPr="005E40CD" w:rsidRDefault="005236C4" w:rsidP="005E40CD">
      <w:pPr>
        <w:spacing w:after="336" w:line="360" w:lineRule="auto"/>
      </w:pPr>
      <w:r w:rsidRPr="005E40CD">
        <w:rPr>
          <w:sz w:val="24"/>
        </w:rPr>
        <w:t xml:space="preserve">[1] </w:t>
      </w:r>
      <w:r w:rsidR="005E40CD" w:rsidRPr="005E40CD">
        <w:rPr>
          <w:sz w:val="24"/>
        </w:rPr>
        <w:t>Polkovnikov, I. (2016). Unified Control and Data Flow Diagrams Applied to Software Engineering and other Systems. Retrieved 15 April 2022, from https://doi.org/10.48550/arXiv.1610.02374</w:t>
      </w:r>
    </w:p>
    <w:p w14:paraId="3F2D426B" w14:textId="2E813738" w:rsidR="005E40CD" w:rsidRPr="005E40CD" w:rsidRDefault="005E40CD" w:rsidP="005E40CD">
      <w:pPr>
        <w:spacing w:after="336" w:line="360" w:lineRule="auto"/>
      </w:pPr>
      <w:r w:rsidRPr="005E40CD">
        <w:rPr>
          <w:sz w:val="24"/>
        </w:rPr>
        <w:t xml:space="preserve">[2] </w:t>
      </w:r>
      <w:r w:rsidRPr="005E40CD">
        <w:rPr>
          <w:sz w:val="24"/>
        </w:rPr>
        <w:t>Saud, D. (2022). What Are The Three Main Goals Of Data Lifecycle Management (DLM)? - Folio3 Dynamics Blog. Retrieved 5 May 2022, from https://dynamics.folio3.com/blog/what-are-the-three-main-goals-of-data-lifecycle-management-dlm/</w:t>
      </w:r>
    </w:p>
    <w:p w14:paraId="03A157FB" w14:textId="4659E015" w:rsidR="007756B7" w:rsidRPr="005E40CD" w:rsidRDefault="007756B7" w:rsidP="005E40CD">
      <w:pPr>
        <w:spacing w:after="336" w:line="360" w:lineRule="auto"/>
      </w:pPr>
    </w:p>
    <w:sectPr w:rsidR="007756B7" w:rsidRPr="005E40CD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9A56" w14:textId="77777777" w:rsidR="005C31E4" w:rsidRDefault="005C31E4">
      <w:r>
        <w:separator/>
      </w:r>
    </w:p>
  </w:endnote>
  <w:endnote w:type="continuationSeparator" w:id="0">
    <w:p w14:paraId="3AD8D91A" w14:textId="77777777" w:rsidR="005C31E4" w:rsidRDefault="005C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6D72769C" w:rsidR="000C308B" w:rsidRDefault="00457108" w:rsidP="00522256">
          <w:pPr>
            <w:pStyle w:val="Footer"/>
          </w:pPr>
          <w:r>
            <w:t>Data Management</w:t>
          </w:r>
          <w:r w:rsidR="000C308B">
            <w:t xml:space="preserve">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11E63F9E" w:rsidR="000C308B" w:rsidRDefault="000C308B" w:rsidP="003B7959">
          <w:pPr>
            <w:pStyle w:val="Footer"/>
          </w:pPr>
          <w:r>
            <w:t>Data Management – CA</w:t>
          </w:r>
          <w:r w:rsidR="00457108">
            <w:t>2</w:t>
          </w:r>
          <w:r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FBBE" w14:textId="77777777" w:rsidR="005C31E4" w:rsidRDefault="005C31E4">
      <w:r>
        <w:separator/>
      </w:r>
    </w:p>
  </w:footnote>
  <w:footnote w:type="continuationSeparator" w:id="0">
    <w:p w14:paraId="764458DA" w14:textId="77777777" w:rsidR="005C31E4" w:rsidRDefault="005C3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25A279C4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Assignment </w:t>
          </w:r>
          <w:r w:rsidR="00457108">
            <w:t>2</w:t>
          </w:r>
          <w:r>
            <w:t xml:space="preserve"> </w:t>
          </w:r>
          <w:r w:rsidR="00457108">
            <w:t>Case Study</w:t>
          </w:r>
          <w:r>
            <w:t xml:space="preserve"> : </w:t>
          </w:r>
          <w:r w:rsidRPr="00A94B43">
            <w:rPr>
              <w:b w:val="0"/>
            </w:rPr>
            <w:t xml:space="preserve">Data </w:t>
          </w:r>
          <w:r>
            <w:rPr>
              <w:b w:val="0"/>
            </w:rPr>
            <w:t>Management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5"/>
  </w:num>
  <w:num w:numId="2" w16cid:durableId="470711783">
    <w:abstractNumId w:val="12"/>
  </w:num>
  <w:num w:numId="3" w16cid:durableId="817648414">
    <w:abstractNumId w:val="9"/>
  </w:num>
  <w:num w:numId="4" w16cid:durableId="1183125238">
    <w:abstractNumId w:val="10"/>
  </w:num>
  <w:num w:numId="5" w16cid:durableId="477108911">
    <w:abstractNumId w:val="11"/>
  </w:num>
  <w:num w:numId="6" w16cid:durableId="1225293361">
    <w:abstractNumId w:val="14"/>
  </w:num>
  <w:num w:numId="7" w16cid:durableId="955522483">
    <w:abstractNumId w:val="4"/>
  </w:num>
  <w:num w:numId="8" w16cid:durableId="1945845312">
    <w:abstractNumId w:val="0"/>
  </w:num>
  <w:num w:numId="9" w16cid:durableId="1135222421">
    <w:abstractNumId w:val="15"/>
  </w:num>
  <w:num w:numId="10" w16cid:durableId="764306766">
    <w:abstractNumId w:val="8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3"/>
  </w:num>
  <w:num w:numId="14" w16cid:durableId="1697997960">
    <w:abstractNumId w:val="13"/>
  </w:num>
  <w:num w:numId="15" w16cid:durableId="1369379906">
    <w:abstractNumId w:val="7"/>
  </w:num>
  <w:num w:numId="16" w16cid:durableId="6734135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1A14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6D75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217"/>
    <w:rsid w:val="001C5E38"/>
    <w:rsid w:val="001C7947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46BF8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1965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2B97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5AAA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5F00"/>
    <w:rsid w:val="005A791D"/>
    <w:rsid w:val="005B00E0"/>
    <w:rsid w:val="005B1E82"/>
    <w:rsid w:val="005B20F6"/>
    <w:rsid w:val="005B42B0"/>
    <w:rsid w:val="005B4CE0"/>
    <w:rsid w:val="005B60E7"/>
    <w:rsid w:val="005B7C14"/>
    <w:rsid w:val="005B7E79"/>
    <w:rsid w:val="005C096B"/>
    <w:rsid w:val="005C1346"/>
    <w:rsid w:val="005C13DA"/>
    <w:rsid w:val="005C1748"/>
    <w:rsid w:val="005C1E77"/>
    <w:rsid w:val="005C31E4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40CD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63C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1694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0B08"/>
    <w:rsid w:val="00A71476"/>
    <w:rsid w:val="00A71A35"/>
    <w:rsid w:val="00A71D60"/>
    <w:rsid w:val="00A71F85"/>
    <w:rsid w:val="00A734A7"/>
    <w:rsid w:val="00A75A44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40B0"/>
    <w:rsid w:val="00B54E1D"/>
    <w:rsid w:val="00B565E5"/>
    <w:rsid w:val="00B56C44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C1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4C71"/>
    <w:rsid w:val="00DF62A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5ED0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7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7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11</cp:revision>
  <cp:lastPrinted>2019-12-10T18:50:00Z</cp:lastPrinted>
  <dcterms:created xsi:type="dcterms:W3CDTF">2022-05-05T18:52:00Z</dcterms:created>
  <dcterms:modified xsi:type="dcterms:W3CDTF">2022-05-05T22:04:00Z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