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FD70" w14:textId="2A443FC1" w:rsidR="00EA7172" w:rsidRPr="00EA3EEA" w:rsidRDefault="00CD0A30" w:rsidP="00EC58FC">
      <w:pPr>
        <w:spacing w:after="0"/>
        <w:jc w:val="center"/>
        <w:rPr>
          <w:rFonts w:ascii="Times New Roman" w:hAnsi="Times New Roman"/>
        </w:rPr>
      </w:pPr>
      <w:r>
        <w:rPr>
          <w:rFonts w:ascii="Times New Roman" w:hAnsi="Times New Roman"/>
        </w:rPr>
        <w:t xml:space="preserve"> </w:t>
      </w:r>
      <w:proofErr w:type="gramStart"/>
      <w:r>
        <w:rPr>
          <w:rFonts w:ascii="Times New Roman" w:hAnsi="Times New Roman"/>
        </w:rPr>
        <w:t>..</w:t>
      </w:r>
      <w:proofErr w:type="gramEnd"/>
      <w:r>
        <w:rPr>
          <w:rFonts w:ascii="Times New Roman" w:hAnsi="Times New Roman"/>
        </w:rPr>
        <w:t>\</w:t>
      </w:r>
      <w:r w:rsidR="00EA7172" w:rsidRPr="00EA3EEA">
        <w:rPr>
          <w:rFonts w:ascii="Times New Roman" w:hAnsi="Times New Roman"/>
        </w:rPr>
        <w:t>References</w:t>
      </w:r>
    </w:p>
    <w:p w14:paraId="6625A05B" w14:textId="77777777" w:rsidR="00994F5E" w:rsidRDefault="00994F5E" w:rsidP="0080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Menlo"/>
          <w:color w:val="404040"/>
          <w:szCs w:val="18"/>
        </w:rPr>
      </w:pPr>
    </w:p>
    <w:p w14:paraId="4C85A7D6" w14:textId="77777777" w:rsidR="007A4F66" w:rsidRDefault="00000000">
      <w:pPr>
        <w:spacing w:after="0" w:line="480" w:lineRule="auto"/>
        <w:ind w:left="720" w:hanging="720"/>
      </w:pPr>
      <w:r>
        <w:rPr>
          <w:rFonts w:ascii="Times New Roman" w:hAnsi="Times New Roman"/>
        </w:rPr>
        <w:t xml:space="preserve">Adadi, A., &amp; Berrada, M. (2018). Peeking Inside the Black-Box: A Survey on Explainable Artificial Intelligence (XAI). </w:t>
      </w:r>
      <w:r>
        <w:rPr>
          <w:rFonts w:ascii="Times New Roman" w:hAnsi="Times New Roman"/>
          <w:i/>
        </w:rPr>
        <w:t>IEEE Access</w:t>
      </w:r>
      <w:r>
        <w:rPr>
          <w:rFonts w:ascii="Times New Roman" w:hAnsi="Times New Roman"/>
        </w:rPr>
        <w:t xml:space="preserve">, </w:t>
      </w:r>
      <w:r>
        <w:rPr>
          <w:rFonts w:ascii="Times New Roman" w:hAnsi="Times New Roman"/>
          <w:i/>
        </w:rPr>
        <w:t>6</w:t>
      </w:r>
      <w:r>
        <w:rPr>
          <w:rFonts w:ascii="Times New Roman" w:hAnsi="Times New Roman"/>
        </w:rPr>
        <w:t xml:space="preserve">(52), 138–160. doi:10.1109/access.2018.2870052 </w:t>
      </w:r>
    </w:p>
    <w:p w14:paraId="3E84A258" w14:textId="77777777" w:rsidR="007A4F66" w:rsidRPr="00957A37" w:rsidRDefault="00000000">
      <w:pPr>
        <w:spacing w:after="0" w:line="480" w:lineRule="auto"/>
        <w:ind w:left="720" w:hanging="720"/>
        <w:rPr>
          <w:b/>
          <w:bCs/>
        </w:rPr>
      </w:pPr>
      <w:r w:rsidRPr="00957A37">
        <w:rPr>
          <w:rFonts w:ascii="Times New Roman" w:hAnsi="Times New Roman"/>
          <w:b/>
          <w:bCs/>
        </w:rPr>
        <w:t xml:space="preserve">Alvarez-Melis, D., &amp; Jaakkola, T. S. (2018). On the Robustness of Interpretability Methods. </w:t>
      </w:r>
      <w:r w:rsidRPr="00957A37">
        <w:rPr>
          <w:rFonts w:ascii="Times New Roman" w:hAnsi="Times New Roman"/>
          <w:b/>
          <w:bCs/>
          <w:i/>
        </w:rPr>
        <w:t>2018 ICML Workshop on Human Interpretability in Machine Learning</w:t>
      </w:r>
      <w:r w:rsidRPr="00957A37">
        <w:rPr>
          <w:rFonts w:ascii="Times New Roman" w:hAnsi="Times New Roman"/>
          <w:b/>
          <w:bCs/>
        </w:rPr>
        <w:t xml:space="preserve">. doi:10.48550/arXiv.1806.08049 </w:t>
      </w:r>
    </w:p>
    <w:p w14:paraId="0154EF80" w14:textId="77777777" w:rsidR="007A4F66" w:rsidRDefault="00000000">
      <w:pPr>
        <w:spacing w:after="0" w:line="480" w:lineRule="auto"/>
        <w:ind w:left="720" w:hanging="720"/>
      </w:pPr>
      <w:r>
        <w:rPr>
          <w:rFonts w:ascii="Times New Roman" w:hAnsi="Times New Roman"/>
        </w:rPr>
        <w:t xml:space="preserve">Anowar, F., &amp; Sadaoui, S. (2020). Incremental Neural-Network Learning for Big Fraud Data. </w:t>
      </w:r>
      <w:r>
        <w:rPr>
          <w:rFonts w:ascii="Times New Roman" w:hAnsi="Times New Roman"/>
          <w:i/>
        </w:rPr>
        <w:t>2020 IEEE International Conference on Systems, Man, and Cybernetics (SMC)</w:t>
      </w:r>
      <w:r>
        <w:rPr>
          <w:rFonts w:ascii="Times New Roman" w:hAnsi="Times New Roman"/>
        </w:rPr>
        <w:t xml:space="preserve">, </w:t>
      </w:r>
      <w:r>
        <w:rPr>
          <w:rFonts w:ascii="Times New Roman" w:hAnsi="Times New Roman"/>
          <w:i/>
        </w:rPr>
        <w:t>1</w:t>
      </w:r>
      <w:r>
        <w:rPr>
          <w:rFonts w:ascii="Times New Roman" w:hAnsi="Times New Roman"/>
        </w:rPr>
        <w:t xml:space="preserve">(1), 1–4. doi:10.1109/smc42975.2020.9283136 </w:t>
      </w:r>
    </w:p>
    <w:p w14:paraId="3274B9B3" w14:textId="77777777" w:rsidR="007A4F66" w:rsidRDefault="00000000">
      <w:pPr>
        <w:spacing w:after="0" w:line="480" w:lineRule="auto"/>
        <w:ind w:left="720" w:hanging="720"/>
      </w:pPr>
      <w:r>
        <w:rPr>
          <w:rFonts w:ascii="Times New Roman" w:hAnsi="Times New Roman"/>
        </w:rPr>
        <w:t xml:space="preserve">Batageri, A., &amp; Kumar, S. (2021). Credit card fraud detection using artificial neural network. </w:t>
      </w:r>
      <w:r>
        <w:rPr>
          <w:rFonts w:ascii="Times New Roman" w:hAnsi="Times New Roman"/>
          <w:i/>
        </w:rPr>
        <w:t>Global Transitions Proceedings</w:t>
      </w:r>
      <w:r>
        <w:rPr>
          <w:rFonts w:ascii="Times New Roman" w:hAnsi="Times New Roman"/>
        </w:rPr>
        <w:t xml:space="preserve">, </w:t>
      </w:r>
      <w:r>
        <w:rPr>
          <w:rFonts w:ascii="Times New Roman" w:hAnsi="Times New Roman"/>
          <w:i/>
        </w:rPr>
        <w:t>2</w:t>
      </w:r>
      <w:r>
        <w:rPr>
          <w:rFonts w:ascii="Times New Roman" w:hAnsi="Times New Roman"/>
        </w:rPr>
        <w:t xml:space="preserve">(1), 35–41. doi:10.1016/j.gltp.2021.01.006 </w:t>
      </w:r>
    </w:p>
    <w:p w14:paraId="4304C459" w14:textId="77777777" w:rsidR="007A4F66" w:rsidRDefault="00000000">
      <w:pPr>
        <w:spacing w:after="0" w:line="480" w:lineRule="auto"/>
        <w:ind w:left="720" w:hanging="720"/>
      </w:pPr>
      <w:r>
        <w:rPr>
          <w:rFonts w:ascii="Times New Roman" w:hAnsi="Times New Roman"/>
        </w:rPr>
        <w:t xml:space="preserve">Carvalho, D. V., Pereira, E. M., &amp; Cardoso, J. S. (2019). Machine learning interpretability: A survey on methods and metrics. </w:t>
      </w:r>
      <w:r>
        <w:rPr>
          <w:rFonts w:ascii="Times New Roman" w:hAnsi="Times New Roman"/>
          <w:i/>
        </w:rPr>
        <w:t>Electronics</w:t>
      </w:r>
      <w:r>
        <w:rPr>
          <w:rFonts w:ascii="Times New Roman" w:hAnsi="Times New Roman"/>
        </w:rPr>
        <w:t xml:space="preserve">, </w:t>
      </w:r>
      <w:r>
        <w:rPr>
          <w:rFonts w:ascii="Times New Roman" w:hAnsi="Times New Roman"/>
          <w:i/>
        </w:rPr>
        <w:t>8</w:t>
      </w:r>
      <w:r>
        <w:rPr>
          <w:rFonts w:ascii="Times New Roman" w:hAnsi="Times New Roman"/>
        </w:rPr>
        <w:t xml:space="preserve">(8). doi:10.3390/electronics8080832 </w:t>
      </w:r>
    </w:p>
    <w:p w14:paraId="28ED51C7" w14:textId="77777777" w:rsidR="007A4F66" w:rsidRPr="00957A37" w:rsidRDefault="00000000">
      <w:pPr>
        <w:spacing w:after="0" w:line="480" w:lineRule="auto"/>
        <w:ind w:left="720" w:hanging="720"/>
        <w:rPr>
          <w:b/>
          <w:bCs/>
        </w:rPr>
      </w:pPr>
      <w:r w:rsidRPr="00957A37">
        <w:rPr>
          <w:rFonts w:ascii="Times New Roman" w:hAnsi="Times New Roman"/>
          <w:b/>
          <w:bCs/>
        </w:rPr>
        <w:t xml:space="preserve">Chromik, M., Eiband, M., Buchner, F., Krüger, A., &amp; Butz, A. (2021). I think I get your point, ai! the illusion of explanatory depth in explainable ai. </w:t>
      </w:r>
      <w:r w:rsidRPr="00957A37">
        <w:rPr>
          <w:rFonts w:ascii="Times New Roman" w:hAnsi="Times New Roman"/>
          <w:b/>
          <w:bCs/>
          <w:i/>
        </w:rPr>
        <w:t>26th International Conference on Intelligent User Interfaces</w:t>
      </w:r>
      <w:r w:rsidRPr="00957A37">
        <w:rPr>
          <w:rFonts w:ascii="Times New Roman" w:hAnsi="Times New Roman"/>
          <w:b/>
          <w:bCs/>
        </w:rPr>
        <w:t xml:space="preserve">. doi:10.1145/3397481.3450644 </w:t>
      </w:r>
    </w:p>
    <w:p w14:paraId="33670D5F" w14:textId="77777777" w:rsidR="007A4F66" w:rsidRDefault="00000000">
      <w:pPr>
        <w:spacing w:after="0" w:line="480" w:lineRule="auto"/>
        <w:ind w:left="720" w:hanging="720"/>
      </w:pPr>
      <w:r>
        <w:rPr>
          <w:rFonts w:ascii="Times New Roman" w:hAnsi="Times New Roman"/>
        </w:rPr>
        <w:t xml:space="preserve">Dal Pozzolo, A., Caelen, O., Le Borgne, Y.-A., Waterschoot, S., &amp; Bontempi, G. (2014). Learned lessons in credit card fraud detection from a practitioner perspective. </w:t>
      </w:r>
      <w:r>
        <w:rPr>
          <w:rFonts w:ascii="Times New Roman" w:hAnsi="Times New Roman"/>
          <w:i/>
        </w:rPr>
        <w:t>Expert Systems with Applications</w:t>
      </w:r>
      <w:r>
        <w:rPr>
          <w:rFonts w:ascii="Times New Roman" w:hAnsi="Times New Roman"/>
        </w:rPr>
        <w:t xml:space="preserve">, </w:t>
      </w:r>
      <w:r>
        <w:rPr>
          <w:rFonts w:ascii="Times New Roman" w:hAnsi="Times New Roman"/>
          <w:i/>
        </w:rPr>
        <w:t>41</w:t>
      </w:r>
      <w:r>
        <w:rPr>
          <w:rFonts w:ascii="Times New Roman" w:hAnsi="Times New Roman"/>
        </w:rPr>
        <w:t xml:space="preserve">(10), 4915–4928. doi:10.1016/j.eswa.2014.02.026 </w:t>
      </w:r>
    </w:p>
    <w:p w14:paraId="1378B355" w14:textId="77777777" w:rsidR="007A4F66" w:rsidRDefault="00000000">
      <w:pPr>
        <w:spacing w:after="0" w:line="480" w:lineRule="auto"/>
        <w:ind w:left="720" w:hanging="720"/>
      </w:pPr>
      <w:r>
        <w:rPr>
          <w:rFonts w:ascii="Times New Roman" w:hAnsi="Times New Roman"/>
        </w:rPr>
        <w:t xml:space="preserve">Darias, J. M., Caro-Martínez, M., Díaz-Agudo, B., &amp; Recio-Garcia, J. A. (2022). Using case-based reasoning for capturing expert knowledge on explanation methods. </w:t>
      </w:r>
      <w:r>
        <w:rPr>
          <w:rFonts w:ascii="Times New Roman" w:hAnsi="Times New Roman"/>
          <w:i/>
        </w:rPr>
        <w:t>Case-Based Reasoning Research and Development</w:t>
      </w:r>
      <w:r>
        <w:rPr>
          <w:rFonts w:ascii="Times New Roman" w:hAnsi="Times New Roman"/>
        </w:rPr>
        <w:t xml:space="preserve">, </w:t>
      </w:r>
      <w:r>
        <w:rPr>
          <w:rFonts w:ascii="Times New Roman" w:hAnsi="Times New Roman"/>
          <w:i/>
        </w:rPr>
        <w:t>13405</w:t>
      </w:r>
      <w:r>
        <w:rPr>
          <w:rFonts w:ascii="Times New Roman" w:hAnsi="Times New Roman"/>
        </w:rPr>
        <w:t xml:space="preserve">, 3–17. doi:10.1007/978-3-031-14923-8_1 </w:t>
      </w:r>
    </w:p>
    <w:p w14:paraId="188471BD" w14:textId="77777777" w:rsidR="007A4F66" w:rsidRDefault="00000000">
      <w:pPr>
        <w:spacing w:after="0" w:line="480" w:lineRule="auto"/>
        <w:ind w:left="720" w:hanging="720"/>
      </w:pPr>
      <w:r>
        <w:rPr>
          <w:rFonts w:ascii="Times New Roman" w:hAnsi="Times New Roman"/>
        </w:rPr>
        <w:t xml:space="preserve">ElShawi, R., Sherif, Y., Al‐Mallah, M., &amp; Sakr, S. (2020). Interpretability in healthcare: A comparative study of local machine learning interpretability techniques. </w:t>
      </w:r>
      <w:r>
        <w:rPr>
          <w:rFonts w:ascii="Times New Roman" w:hAnsi="Times New Roman"/>
          <w:i/>
        </w:rPr>
        <w:t>Computational Intelligence</w:t>
      </w:r>
      <w:r>
        <w:rPr>
          <w:rFonts w:ascii="Times New Roman" w:hAnsi="Times New Roman"/>
        </w:rPr>
        <w:t xml:space="preserve">, </w:t>
      </w:r>
      <w:r>
        <w:rPr>
          <w:rFonts w:ascii="Times New Roman" w:hAnsi="Times New Roman"/>
          <w:i/>
        </w:rPr>
        <w:t>37</w:t>
      </w:r>
      <w:r>
        <w:rPr>
          <w:rFonts w:ascii="Times New Roman" w:hAnsi="Times New Roman"/>
        </w:rPr>
        <w:t xml:space="preserve">(4), 1633–1650. doi:10.1111/coin.12410 </w:t>
      </w:r>
    </w:p>
    <w:p w14:paraId="2C0C196E" w14:textId="77777777" w:rsidR="007A4F66" w:rsidRDefault="00000000">
      <w:pPr>
        <w:spacing w:after="0" w:line="480" w:lineRule="auto"/>
        <w:ind w:left="720" w:hanging="720"/>
      </w:pPr>
      <w:r>
        <w:rPr>
          <w:rFonts w:ascii="Times New Roman" w:hAnsi="Times New Roman"/>
        </w:rPr>
        <w:t xml:space="preserve">Evans, B. P., Xue, B., &amp; Zhang, M. (2019). What’s inside the black-box? </w:t>
      </w:r>
      <w:r>
        <w:rPr>
          <w:rFonts w:ascii="Times New Roman" w:hAnsi="Times New Roman"/>
          <w:i/>
        </w:rPr>
        <w:t>Proceedings of the Genetic and Evolutionary Computation Conference</w:t>
      </w:r>
      <w:r>
        <w:rPr>
          <w:rFonts w:ascii="Times New Roman" w:hAnsi="Times New Roman"/>
        </w:rPr>
        <w:t xml:space="preserve">. doi:10.1145/3321707.3321726 </w:t>
      </w:r>
    </w:p>
    <w:p w14:paraId="67386C85" w14:textId="77777777" w:rsidR="007A4F66" w:rsidRDefault="00000000">
      <w:pPr>
        <w:spacing w:after="0" w:line="480" w:lineRule="auto"/>
        <w:ind w:left="720" w:hanging="720"/>
      </w:pPr>
      <w:r>
        <w:rPr>
          <w:rFonts w:ascii="Times New Roman" w:hAnsi="Times New Roman"/>
        </w:rPr>
        <w:t xml:space="preserve">Guidotti, R., Monreale, A., Giannotti, F., Pedreschi, D., Ruggieri, S., &amp; Turini, F. (2019). Factual and counterfactual explanations for black box decision making. </w:t>
      </w:r>
      <w:r>
        <w:rPr>
          <w:rFonts w:ascii="Times New Roman" w:hAnsi="Times New Roman"/>
          <w:i/>
        </w:rPr>
        <w:t>IEEE Intelligent Systems</w:t>
      </w:r>
      <w:r>
        <w:rPr>
          <w:rFonts w:ascii="Times New Roman" w:hAnsi="Times New Roman"/>
        </w:rPr>
        <w:t xml:space="preserve">, </w:t>
      </w:r>
      <w:r>
        <w:rPr>
          <w:rFonts w:ascii="Times New Roman" w:hAnsi="Times New Roman"/>
          <w:i/>
        </w:rPr>
        <w:t>34</w:t>
      </w:r>
      <w:r>
        <w:rPr>
          <w:rFonts w:ascii="Times New Roman" w:hAnsi="Times New Roman"/>
        </w:rPr>
        <w:t xml:space="preserve">(6), 14–23. doi:10.1109/mis.2019.2957223 </w:t>
      </w:r>
    </w:p>
    <w:p w14:paraId="7AA8292B" w14:textId="77777777" w:rsidR="007A4F66" w:rsidRPr="00957A37" w:rsidRDefault="00000000">
      <w:pPr>
        <w:spacing w:after="0" w:line="480" w:lineRule="auto"/>
        <w:ind w:left="720" w:hanging="720"/>
        <w:rPr>
          <w:b/>
          <w:bCs/>
        </w:rPr>
      </w:pPr>
      <w:r w:rsidRPr="00957A37">
        <w:rPr>
          <w:rFonts w:ascii="Times New Roman" w:hAnsi="Times New Roman"/>
          <w:b/>
          <w:bCs/>
        </w:rPr>
        <w:t xml:space="preserve">Hanafy, M., &amp; Ming, R. (2022). Classification of the insureds using Integrated Machine Learning Algorithms: A comparative study. </w:t>
      </w:r>
      <w:r w:rsidRPr="00957A37">
        <w:rPr>
          <w:rFonts w:ascii="Times New Roman" w:hAnsi="Times New Roman"/>
          <w:b/>
          <w:bCs/>
          <w:i/>
        </w:rPr>
        <w:t>Applied Artificial Intelligence</w:t>
      </w:r>
      <w:r w:rsidRPr="00957A37">
        <w:rPr>
          <w:rFonts w:ascii="Times New Roman" w:hAnsi="Times New Roman"/>
          <w:b/>
          <w:bCs/>
        </w:rPr>
        <w:t xml:space="preserve">, </w:t>
      </w:r>
      <w:r w:rsidRPr="00957A37">
        <w:rPr>
          <w:rFonts w:ascii="Times New Roman" w:hAnsi="Times New Roman"/>
          <w:b/>
          <w:bCs/>
          <w:i/>
        </w:rPr>
        <w:t>36</w:t>
      </w:r>
      <w:r w:rsidRPr="00957A37">
        <w:rPr>
          <w:rFonts w:ascii="Times New Roman" w:hAnsi="Times New Roman"/>
          <w:b/>
          <w:bCs/>
        </w:rPr>
        <w:t xml:space="preserve">(1). doi:10.1080/08839514.2021.2020489 </w:t>
      </w:r>
    </w:p>
    <w:p w14:paraId="20404452" w14:textId="77777777" w:rsidR="007A4F66" w:rsidRDefault="00000000">
      <w:pPr>
        <w:spacing w:after="0" w:line="480" w:lineRule="auto"/>
        <w:ind w:left="720" w:hanging="720"/>
      </w:pPr>
      <w:r>
        <w:rPr>
          <w:rFonts w:ascii="Times New Roman" w:hAnsi="Times New Roman"/>
        </w:rPr>
        <w:t xml:space="preserve">Honegger, M. (2018). Shedding light on Black Box Machine Learning Algorithms: Development of an axiomatic framework to assess the quality of methods that explain individual predictions. Retrieved from https://arxiv.org/abs/1808.05054v1 </w:t>
      </w:r>
    </w:p>
    <w:p w14:paraId="5C89AE44" w14:textId="77777777" w:rsidR="007A4F66" w:rsidRDefault="00000000">
      <w:pPr>
        <w:spacing w:after="0" w:line="480" w:lineRule="auto"/>
        <w:ind w:left="720" w:hanging="720"/>
      </w:pPr>
      <w:r>
        <w:rPr>
          <w:rFonts w:ascii="Times New Roman" w:hAnsi="Times New Roman"/>
        </w:rPr>
        <w:t xml:space="preserve">Ignatiev, A. (2020). Towards trustable explainable ai. </w:t>
      </w:r>
      <w:r>
        <w:rPr>
          <w:rFonts w:ascii="Times New Roman" w:hAnsi="Times New Roman"/>
          <w:i/>
        </w:rPr>
        <w:t>Proceedings of the Twenty-Ninth International Joint Conference on Artificial Intelligence</w:t>
      </w:r>
      <w:r>
        <w:rPr>
          <w:rFonts w:ascii="Times New Roman" w:hAnsi="Times New Roman"/>
        </w:rPr>
        <w:t xml:space="preserve">, 5154–5158. doi:10.24963/ijcai.2020/726 </w:t>
      </w:r>
    </w:p>
    <w:p w14:paraId="28EF548D" w14:textId="77777777" w:rsidR="007A4F66" w:rsidRPr="00957A37" w:rsidRDefault="00000000">
      <w:pPr>
        <w:spacing w:after="0" w:line="480" w:lineRule="auto"/>
        <w:ind w:left="720" w:hanging="720"/>
        <w:rPr>
          <w:b/>
          <w:bCs/>
        </w:rPr>
      </w:pPr>
      <w:r w:rsidRPr="00957A37">
        <w:rPr>
          <w:rFonts w:ascii="Times New Roman" w:hAnsi="Times New Roman"/>
          <w:b/>
          <w:bCs/>
        </w:rPr>
        <w:t xml:space="preserve">Jacob, V., Song, F., Stiegler, A., Rad, B., Diao, Y., &amp; Tatbul, N. (2021). Exathlon: A Benchmark for Explainable Anomaly Detection over Time Series. </w:t>
      </w:r>
      <w:r w:rsidRPr="00957A37">
        <w:rPr>
          <w:rFonts w:ascii="Times New Roman" w:hAnsi="Times New Roman"/>
          <w:b/>
          <w:bCs/>
          <w:i/>
        </w:rPr>
        <w:t>Proceedings of the VLDB Endowment</w:t>
      </w:r>
      <w:r w:rsidRPr="00957A37">
        <w:rPr>
          <w:rFonts w:ascii="Times New Roman" w:hAnsi="Times New Roman"/>
          <w:b/>
          <w:bCs/>
        </w:rPr>
        <w:t xml:space="preserve">, </w:t>
      </w:r>
      <w:r w:rsidRPr="00957A37">
        <w:rPr>
          <w:rFonts w:ascii="Times New Roman" w:hAnsi="Times New Roman"/>
          <w:b/>
          <w:bCs/>
          <w:i/>
        </w:rPr>
        <w:t>14</w:t>
      </w:r>
      <w:r w:rsidRPr="00957A37">
        <w:rPr>
          <w:rFonts w:ascii="Times New Roman" w:hAnsi="Times New Roman"/>
          <w:b/>
          <w:bCs/>
        </w:rPr>
        <w:t>(11), 2613–2626. doi:10.14778/3476249.3476307 "ED Benchmark. While a user study may be the best way to evaluate the usefulness of explanations, it is not always available and may come at a high cost. Therefore, our benchmark aims to provide automated evaluation of ED methods based on intuitive metrics, namely, conciseness, consistency, and accuracy, as well as their various variants."</w:t>
      </w:r>
    </w:p>
    <w:p w14:paraId="008B63A4" w14:textId="77777777" w:rsidR="007A4F66" w:rsidRDefault="00000000">
      <w:pPr>
        <w:spacing w:after="0" w:line="480" w:lineRule="auto"/>
        <w:ind w:left="720" w:hanging="720"/>
      </w:pPr>
      <w:r>
        <w:rPr>
          <w:rFonts w:ascii="Times New Roman" w:hAnsi="Times New Roman"/>
        </w:rPr>
        <w:t xml:space="preserve">Jesus, S., Belém, C., Balayan, V., Bento, J., Saleiro, P., Bizarro, P., &amp; Gama, J. (2021). How can I choose an explainer? </w:t>
      </w:r>
      <w:r>
        <w:rPr>
          <w:rFonts w:ascii="Times New Roman" w:hAnsi="Times New Roman"/>
          <w:i/>
        </w:rPr>
        <w:t>Proceedings of the 2021 ACM Conference on Fairness, Accountability, and Transparency</w:t>
      </w:r>
      <w:r>
        <w:rPr>
          <w:rFonts w:ascii="Times New Roman" w:hAnsi="Times New Roman"/>
        </w:rPr>
        <w:t xml:space="preserve">. doi:10.1145/3442188.3445941 </w:t>
      </w:r>
    </w:p>
    <w:p w14:paraId="7E7A49D0" w14:textId="77777777" w:rsidR="007A4F66" w:rsidRDefault="00000000">
      <w:pPr>
        <w:spacing w:after="0" w:line="480" w:lineRule="auto"/>
        <w:ind w:left="720" w:hanging="720"/>
      </w:pPr>
      <w:r>
        <w:rPr>
          <w:rFonts w:ascii="Times New Roman" w:hAnsi="Times New Roman"/>
        </w:rPr>
        <w:t xml:space="preserve">Kaur, H., Nori, H., Jenkins, S., Caruana, R., Wallach, H., &amp; Wortman Vaughan, J. (2020). Interpreting interpretability: Understanding data scientists’ use of interpretability tools for machine learning. </w:t>
      </w:r>
      <w:r>
        <w:rPr>
          <w:rFonts w:ascii="Times New Roman" w:hAnsi="Times New Roman"/>
          <w:i/>
        </w:rPr>
        <w:t>Proceedings of the 2020 CHI Conference on Human Factors in Computing Systems</w:t>
      </w:r>
      <w:r>
        <w:rPr>
          <w:rFonts w:ascii="Times New Roman" w:hAnsi="Times New Roman"/>
        </w:rPr>
        <w:t xml:space="preserve">, 1–14. doi:10.1145/3313831.3376219 </w:t>
      </w:r>
    </w:p>
    <w:p w14:paraId="346EBC75" w14:textId="77777777" w:rsidR="007A4F66" w:rsidRDefault="00000000">
      <w:pPr>
        <w:spacing w:after="0" w:line="480" w:lineRule="auto"/>
        <w:ind w:left="720" w:hanging="720"/>
      </w:pPr>
      <w:r>
        <w:rPr>
          <w:rFonts w:ascii="Times New Roman" w:hAnsi="Times New Roman"/>
        </w:rPr>
        <w:t xml:space="preserve">Lakkaraju, H., Bach, S. H., &amp; Leskovec, J. (2016). Interpretable decision sets. </w:t>
      </w:r>
      <w:r>
        <w:rPr>
          <w:rFonts w:ascii="Times New Roman" w:hAnsi="Times New Roman"/>
          <w:i/>
        </w:rPr>
        <w:t>Proceedings of the 22nd ACM SIGKDD International Conference on Knowledge Discovery and Data Mining</w:t>
      </w:r>
      <w:r>
        <w:rPr>
          <w:rFonts w:ascii="Times New Roman" w:hAnsi="Times New Roman"/>
        </w:rPr>
        <w:t xml:space="preserve">, 1675–1684. doi:10.1145/2939672.2939874 </w:t>
      </w:r>
    </w:p>
    <w:p w14:paraId="17409851" w14:textId="77777777" w:rsidR="007A4F66" w:rsidRDefault="00000000">
      <w:pPr>
        <w:spacing w:after="0" w:line="480" w:lineRule="auto"/>
        <w:ind w:left="720" w:hanging="720"/>
      </w:pPr>
      <w:r>
        <w:rPr>
          <w:rFonts w:ascii="Times New Roman" w:hAnsi="Times New Roman"/>
        </w:rPr>
        <w:t xml:space="preserve">Lundberg, S. M., &amp; Lee, S.-I. (2017). A Unified Approach to Interpreting Model Predictions. In </w:t>
      </w:r>
      <w:r>
        <w:rPr>
          <w:rFonts w:ascii="Times New Roman" w:hAnsi="Times New Roman"/>
          <w:i/>
        </w:rPr>
        <w:t>Advances in Neural Information Processing Systems 30 (NIPS 2017)</w:t>
      </w:r>
      <w:r>
        <w:rPr>
          <w:rFonts w:ascii="Times New Roman" w:hAnsi="Times New Roman"/>
        </w:rPr>
        <w:t xml:space="preserve"> (Vol. 30). essay, NeurIPS Proceedings. </w:t>
      </w:r>
    </w:p>
    <w:p w14:paraId="24201DAA" w14:textId="77777777" w:rsidR="007A4F66" w:rsidRPr="00957A37" w:rsidRDefault="00000000">
      <w:pPr>
        <w:spacing w:after="0" w:line="480" w:lineRule="auto"/>
        <w:ind w:left="720" w:hanging="720"/>
      </w:pPr>
      <w:r w:rsidRPr="00957A37">
        <w:rPr>
          <w:rFonts w:ascii="Times New Roman" w:hAnsi="Times New Roman"/>
        </w:rPr>
        <w:t xml:space="preserve">Marcilio, W. E., &amp; Eler, D. M. (2020). From explanations to feature selection: Assessing shap values as feature selection mechanism. </w:t>
      </w:r>
      <w:r w:rsidRPr="00957A37">
        <w:rPr>
          <w:rFonts w:ascii="Times New Roman" w:hAnsi="Times New Roman"/>
          <w:i/>
        </w:rPr>
        <w:t xml:space="preserve">2020 33rd SIBGRAPI Conference on Graphics, </w:t>
      </w:r>
      <w:proofErr w:type="gramStart"/>
      <w:r w:rsidRPr="00957A37">
        <w:rPr>
          <w:rFonts w:ascii="Times New Roman" w:hAnsi="Times New Roman"/>
          <w:i/>
        </w:rPr>
        <w:t>Patterns</w:t>
      </w:r>
      <w:proofErr w:type="gramEnd"/>
      <w:r w:rsidRPr="00957A37">
        <w:rPr>
          <w:rFonts w:ascii="Times New Roman" w:hAnsi="Times New Roman"/>
          <w:i/>
        </w:rPr>
        <w:t xml:space="preserve"> and Images (SIBGRAPI)</w:t>
      </w:r>
      <w:r w:rsidRPr="00957A37">
        <w:rPr>
          <w:rFonts w:ascii="Times New Roman" w:hAnsi="Times New Roman"/>
        </w:rPr>
        <w:t xml:space="preserve">, 340–347. doi:10.1109/sibgrapi51738.2020.00053 </w:t>
      </w:r>
    </w:p>
    <w:p w14:paraId="7F1ECC1C" w14:textId="7F6895F5" w:rsidR="007A4F66" w:rsidRPr="00A46FF4" w:rsidRDefault="00000000">
      <w:pPr>
        <w:spacing w:after="0" w:line="480" w:lineRule="auto"/>
        <w:ind w:left="720" w:hanging="720"/>
        <w:rPr>
          <w:b/>
          <w:bCs/>
        </w:rPr>
      </w:pPr>
      <w:r w:rsidRPr="00A46FF4">
        <w:rPr>
          <w:rFonts w:ascii="Times New Roman" w:hAnsi="Times New Roman"/>
          <w:b/>
          <w:bCs/>
        </w:rPr>
        <w:t xml:space="preserve">Martínez, M. A., Nadj, M., Langner, M., Toreini, P., &amp; Maedche, A. (2023). Does this explanation help? designing local model-agnostic explanation representations and an experimental evaluation using eye-tracking technology. </w:t>
      </w:r>
      <w:r w:rsidRPr="00A46FF4">
        <w:rPr>
          <w:rFonts w:ascii="Times New Roman" w:hAnsi="Times New Roman"/>
          <w:b/>
          <w:bCs/>
          <w:i/>
        </w:rPr>
        <w:t>ACM Transactions on Interactive Intelligent Systems</w:t>
      </w:r>
      <w:r w:rsidRPr="00A46FF4">
        <w:rPr>
          <w:rFonts w:ascii="Times New Roman" w:hAnsi="Times New Roman"/>
          <w:b/>
          <w:bCs/>
        </w:rPr>
        <w:t>. doi:10.1145/3607145 "</w:t>
      </w:r>
      <w:proofErr w:type="spellStart"/>
      <w:r w:rsidRPr="00A46FF4">
        <w:rPr>
          <w:rFonts w:ascii="Times New Roman" w:hAnsi="Times New Roman"/>
          <w:b/>
          <w:bCs/>
        </w:rPr>
        <w:t>Ar</w:t>
      </w:r>
      <w:r w:rsidR="00FD6CC0">
        <w:rPr>
          <w:rFonts w:ascii="Times New Roman" w:hAnsi="Times New Roman"/>
          <w:b/>
          <w:bCs/>
        </w:rPr>
        <w:t>tt</w:t>
      </w:r>
      <w:r w:rsidRPr="00A46FF4">
        <w:rPr>
          <w:rFonts w:ascii="Times New Roman" w:hAnsi="Times New Roman"/>
          <w:b/>
          <w:bCs/>
        </w:rPr>
        <w:t>tificial</w:t>
      </w:r>
      <w:proofErr w:type="spellEnd"/>
      <w:r w:rsidRPr="00A46FF4">
        <w:rPr>
          <w:rFonts w:ascii="Times New Roman" w:hAnsi="Times New Roman"/>
          <w:b/>
          <w:bCs/>
        </w:rPr>
        <w:t xml:space="preserve"> Intelligence (AI) is playing an increasingly significant role in high-stake domains such as Finance...This problem is reinforced by the popularity of deep learning models, which are hard to understand even by experts [23]. Due to the need for users to understand the logic of these systems, new regulations have been enacted..."</w:t>
      </w:r>
    </w:p>
    <w:p w14:paraId="5B8947B4" w14:textId="77777777" w:rsidR="007A4F66" w:rsidRPr="00A46FF4" w:rsidRDefault="00000000">
      <w:pPr>
        <w:spacing w:after="0" w:line="480" w:lineRule="auto"/>
        <w:ind w:left="720" w:hanging="720"/>
        <w:rPr>
          <w:b/>
          <w:bCs/>
        </w:rPr>
      </w:pPr>
      <w:r w:rsidRPr="00A46FF4">
        <w:rPr>
          <w:rFonts w:ascii="Times New Roman" w:hAnsi="Times New Roman"/>
          <w:b/>
          <w:bCs/>
        </w:rPr>
        <w:t xml:space="preserve">Moreira, C., Chou, Y.-L., Velmurugan, M., Ouyang, C., Sindhgatta, R., &amp; Bruza, P. (2020). Linda-BN: An interpretable probabilistic approach for demystifying Black-Box Predictive Models. </w:t>
      </w:r>
      <w:r w:rsidRPr="00A46FF4">
        <w:rPr>
          <w:rFonts w:ascii="Times New Roman" w:hAnsi="Times New Roman"/>
          <w:b/>
          <w:bCs/>
          <w:i/>
        </w:rPr>
        <w:t>Decision Support Systems</w:t>
      </w:r>
      <w:r w:rsidRPr="00A46FF4">
        <w:rPr>
          <w:rFonts w:ascii="Times New Roman" w:hAnsi="Times New Roman"/>
          <w:b/>
          <w:bCs/>
        </w:rPr>
        <w:t xml:space="preserve">, </w:t>
      </w:r>
      <w:r w:rsidRPr="00A46FF4">
        <w:rPr>
          <w:rFonts w:ascii="Times New Roman" w:hAnsi="Times New Roman"/>
          <w:b/>
          <w:bCs/>
          <w:i/>
        </w:rPr>
        <w:t>150</w:t>
      </w:r>
      <w:r w:rsidRPr="00A46FF4">
        <w:rPr>
          <w:rFonts w:ascii="Times New Roman" w:hAnsi="Times New Roman"/>
          <w:b/>
          <w:bCs/>
        </w:rPr>
        <w:t xml:space="preserve">, 113561. </w:t>
      </w:r>
      <w:proofErr w:type="gramStart"/>
      <w:r w:rsidRPr="00A46FF4">
        <w:rPr>
          <w:rFonts w:ascii="Times New Roman" w:hAnsi="Times New Roman"/>
          <w:b/>
          <w:bCs/>
        </w:rPr>
        <w:t>doi:10.1016/j.dss</w:t>
      </w:r>
      <w:proofErr w:type="gramEnd"/>
      <w:r w:rsidRPr="00A46FF4">
        <w:rPr>
          <w:rFonts w:ascii="Times New Roman" w:hAnsi="Times New Roman"/>
          <w:b/>
          <w:bCs/>
        </w:rPr>
        <w:t xml:space="preserve">.2021.113561 </w:t>
      </w:r>
    </w:p>
    <w:p w14:paraId="3C90B635" w14:textId="77777777" w:rsidR="007A4F66" w:rsidRPr="00A46FF4" w:rsidRDefault="00000000">
      <w:pPr>
        <w:spacing w:after="0" w:line="480" w:lineRule="auto"/>
        <w:ind w:left="720" w:hanging="720"/>
        <w:rPr>
          <w:b/>
          <w:bCs/>
        </w:rPr>
      </w:pPr>
      <w:r w:rsidRPr="00A46FF4">
        <w:rPr>
          <w:rFonts w:ascii="Times New Roman" w:hAnsi="Times New Roman"/>
          <w:b/>
          <w:bCs/>
        </w:rPr>
        <w:t xml:space="preserve">Mothilal, R. K., Sharma, A., &amp; Tan, C. (2020). Explaining machine learning classifiers through diverse counterfactual explanations. </w:t>
      </w:r>
      <w:r w:rsidRPr="00A46FF4">
        <w:rPr>
          <w:rFonts w:ascii="Times New Roman" w:hAnsi="Times New Roman"/>
          <w:b/>
          <w:bCs/>
          <w:i/>
        </w:rPr>
        <w:t>Proceedings of the 2020 Conference on Fairness, Accountability, and Transparency</w:t>
      </w:r>
      <w:r w:rsidRPr="00A46FF4">
        <w:rPr>
          <w:rFonts w:ascii="Times New Roman" w:hAnsi="Times New Roman"/>
          <w:b/>
          <w:bCs/>
        </w:rPr>
        <w:t xml:space="preserve">. doi:10.1145/3351095.3372850 </w:t>
      </w:r>
    </w:p>
    <w:p w14:paraId="16AAE5B9" w14:textId="77777777" w:rsidR="007A4F66" w:rsidRPr="00A46FF4" w:rsidRDefault="00000000">
      <w:pPr>
        <w:spacing w:after="0" w:line="480" w:lineRule="auto"/>
        <w:ind w:left="720" w:hanging="720"/>
        <w:rPr>
          <w:b/>
          <w:bCs/>
        </w:rPr>
      </w:pPr>
      <w:r w:rsidRPr="00A46FF4">
        <w:rPr>
          <w:rFonts w:ascii="Times New Roman" w:hAnsi="Times New Roman"/>
          <w:b/>
          <w:bCs/>
        </w:rPr>
        <w:t xml:space="preserve">Nascita, A., Montieri, A., Aceto, G., Ciuonzo, D., Persico, V., &amp; Pescape, A. (2021). Unveiling mimetic: Interpreting deep learning traffic classifiers via xai techniques. </w:t>
      </w:r>
      <w:r w:rsidRPr="00A46FF4">
        <w:rPr>
          <w:rFonts w:ascii="Times New Roman" w:hAnsi="Times New Roman"/>
          <w:b/>
          <w:bCs/>
          <w:i/>
        </w:rPr>
        <w:t>2021 IEEE International Conference on Cyber Security and Resilience (CSR)</w:t>
      </w:r>
      <w:r w:rsidRPr="00A46FF4">
        <w:rPr>
          <w:rFonts w:ascii="Times New Roman" w:hAnsi="Times New Roman"/>
          <w:b/>
          <w:bCs/>
        </w:rPr>
        <w:t xml:space="preserve">, 455–460. doi:10.1109/csr51186.2021.9527948 </w:t>
      </w:r>
    </w:p>
    <w:p w14:paraId="353BB536" w14:textId="77777777" w:rsidR="007A4F66" w:rsidRPr="00A46FF4" w:rsidRDefault="00000000">
      <w:pPr>
        <w:spacing w:after="0" w:line="480" w:lineRule="auto"/>
        <w:ind w:left="720" w:hanging="720"/>
        <w:rPr>
          <w:b/>
          <w:bCs/>
        </w:rPr>
      </w:pPr>
      <w:r w:rsidRPr="00A46FF4">
        <w:rPr>
          <w:rFonts w:ascii="Times New Roman" w:hAnsi="Times New Roman"/>
          <w:b/>
          <w:bCs/>
        </w:rPr>
        <w:t xml:space="preserve">Nesvijevskaia, A., Ouillade, S., Guilmin, P., &amp; Zucker, J.-D. (2021). The accuracy versus interpretability trade-off in fraud detection model. </w:t>
      </w:r>
      <w:r w:rsidRPr="00A46FF4">
        <w:rPr>
          <w:rFonts w:ascii="Times New Roman" w:hAnsi="Times New Roman"/>
          <w:b/>
          <w:bCs/>
          <w:i/>
        </w:rPr>
        <w:t>Data &amp;amp; Policy</w:t>
      </w:r>
      <w:r w:rsidRPr="00A46FF4">
        <w:rPr>
          <w:rFonts w:ascii="Times New Roman" w:hAnsi="Times New Roman"/>
          <w:b/>
          <w:bCs/>
        </w:rPr>
        <w:t xml:space="preserve">, </w:t>
      </w:r>
      <w:r w:rsidRPr="00A46FF4">
        <w:rPr>
          <w:rFonts w:ascii="Times New Roman" w:hAnsi="Times New Roman"/>
          <w:b/>
          <w:bCs/>
          <w:i/>
        </w:rPr>
        <w:t>3</w:t>
      </w:r>
      <w:r w:rsidRPr="00A46FF4">
        <w:rPr>
          <w:rFonts w:ascii="Times New Roman" w:hAnsi="Times New Roman"/>
          <w:b/>
          <w:bCs/>
        </w:rPr>
        <w:t xml:space="preserve">. doi:10.1017/dap.2021.3 </w:t>
      </w:r>
    </w:p>
    <w:p w14:paraId="4EA3ABA3" w14:textId="77777777" w:rsidR="007A4F66" w:rsidRPr="00A46FF4" w:rsidRDefault="00000000">
      <w:pPr>
        <w:spacing w:after="0" w:line="480" w:lineRule="auto"/>
        <w:ind w:left="720" w:hanging="720"/>
        <w:rPr>
          <w:b/>
          <w:bCs/>
        </w:rPr>
      </w:pPr>
      <w:r w:rsidRPr="00A46FF4">
        <w:rPr>
          <w:rFonts w:ascii="Times New Roman" w:hAnsi="Times New Roman"/>
          <w:b/>
          <w:bCs/>
        </w:rPr>
        <w:t xml:space="preserve">Nguyen, M.-D., Bouaziz, A., Valdes, V., Rosa Cavalli, A., Mallouli, W., &amp; Montes De Oca, E. (2023). A deep learning anomaly detection framework with explainability and robustness. </w:t>
      </w:r>
      <w:r w:rsidRPr="00A46FF4">
        <w:rPr>
          <w:rFonts w:ascii="Times New Roman" w:hAnsi="Times New Roman"/>
          <w:b/>
          <w:bCs/>
          <w:i/>
        </w:rPr>
        <w:t>Proceedings of the 18th International Conference on Availability, Reliability and Security</w:t>
      </w:r>
      <w:r w:rsidRPr="00A46FF4">
        <w:rPr>
          <w:rFonts w:ascii="Times New Roman" w:hAnsi="Times New Roman"/>
          <w:b/>
          <w:bCs/>
        </w:rPr>
        <w:t>. doi:10.1145/3600160.3605052 "Addressing this need, eXplainable Artificial Intelligence (XAI) [1, 9] has emerged as a prominent research area, aiming to provide users with a rationale for understanding the output produced by AI systems and fostering trust among end-users. Various approaches, such as the ones proposed in [8, 11], have been developed to enhance global and local interpretability, shedding light on what the models have learned and how they make individual predictions. Existing AI frameworks, such as Shapash1, explainerdashboard2, and DataRobot3, have made valuable contributions to the field."</w:t>
      </w:r>
    </w:p>
    <w:p w14:paraId="77FC6FF1" w14:textId="77777777" w:rsidR="007A4F66" w:rsidRDefault="00000000">
      <w:pPr>
        <w:spacing w:after="0" w:line="480" w:lineRule="auto"/>
        <w:ind w:left="720" w:hanging="720"/>
      </w:pPr>
      <w:r>
        <w:rPr>
          <w:rFonts w:ascii="Times New Roman" w:hAnsi="Times New Roman"/>
        </w:rPr>
        <w:t xml:space="preserve">Nri, H., Jenkins, S., Paul, K., &amp; Caruana, R. (2019). InterpretML: A unified framework for machine learning interpretability. </w:t>
      </w:r>
      <w:r>
        <w:rPr>
          <w:rFonts w:ascii="Times New Roman" w:hAnsi="Times New Roman"/>
          <w:i/>
        </w:rPr>
        <w:t>arXiv Preprint arXiv:1909.09223</w:t>
      </w:r>
      <w:r>
        <w:rPr>
          <w:rFonts w:ascii="Times New Roman" w:hAnsi="Times New Roman"/>
        </w:rPr>
        <w:t xml:space="preserve">. </w:t>
      </w:r>
    </w:p>
    <w:p w14:paraId="2A5F67B0" w14:textId="77777777" w:rsidR="007A4F66" w:rsidRDefault="00000000">
      <w:pPr>
        <w:spacing w:after="0" w:line="480" w:lineRule="auto"/>
        <w:ind w:left="720" w:hanging="720"/>
      </w:pPr>
      <w:r>
        <w:rPr>
          <w:rFonts w:ascii="Times New Roman" w:hAnsi="Times New Roman"/>
        </w:rPr>
        <w:t xml:space="preserve">Priscilla, C. V., &amp; Prabha, D. P. (2020). Influence of optimizing xgboost to handle class imbalance in credit card fraud detection. </w:t>
      </w:r>
      <w:r>
        <w:rPr>
          <w:rFonts w:ascii="Times New Roman" w:hAnsi="Times New Roman"/>
          <w:i/>
        </w:rPr>
        <w:t>2020 Third International Conference on Smart Systems and Inventive Technology (ICSSIT)</w:t>
      </w:r>
      <w:r>
        <w:rPr>
          <w:rFonts w:ascii="Times New Roman" w:hAnsi="Times New Roman"/>
        </w:rPr>
        <w:t xml:space="preserve">, 1309–1315. doi:10.1109/icssit48917.2020.9214206 </w:t>
      </w:r>
    </w:p>
    <w:p w14:paraId="29199D96" w14:textId="77777777" w:rsidR="007A4F66" w:rsidRDefault="00000000">
      <w:pPr>
        <w:spacing w:after="0" w:line="480" w:lineRule="auto"/>
        <w:ind w:left="720" w:hanging="720"/>
      </w:pPr>
      <w:r>
        <w:rPr>
          <w:rFonts w:ascii="Times New Roman" w:hAnsi="Times New Roman"/>
        </w:rPr>
        <w:t xml:space="preserve">Psychoula, I., Gutmann, A., Mainali, P., Lee, S. H., Dunphy, P., &amp; Petitcolas, F. (2021). Explainable Machine Learning for Fraud Detection. </w:t>
      </w:r>
      <w:r>
        <w:rPr>
          <w:rFonts w:ascii="Times New Roman" w:hAnsi="Times New Roman"/>
          <w:i/>
        </w:rPr>
        <w:t>Computer</w:t>
      </w:r>
      <w:r>
        <w:rPr>
          <w:rFonts w:ascii="Times New Roman" w:hAnsi="Times New Roman"/>
        </w:rPr>
        <w:t xml:space="preserve">, </w:t>
      </w:r>
      <w:r>
        <w:rPr>
          <w:rFonts w:ascii="Times New Roman" w:hAnsi="Times New Roman"/>
          <w:i/>
        </w:rPr>
        <w:t>54</w:t>
      </w:r>
      <w:r>
        <w:rPr>
          <w:rFonts w:ascii="Times New Roman" w:hAnsi="Times New Roman"/>
        </w:rPr>
        <w:t xml:space="preserve">(10), 49–59. doi:10.1109/mc.2021.3081249 </w:t>
      </w:r>
    </w:p>
    <w:p w14:paraId="56BF4461" w14:textId="77777777" w:rsidR="007A4F66" w:rsidRPr="00B01FFA" w:rsidRDefault="00000000">
      <w:pPr>
        <w:spacing w:after="0" w:line="480" w:lineRule="auto"/>
        <w:ind w:left="720" w:hanging="720"/>
        <w:rPr>
          <w:b/>
          <w:bCs/>
        </w:rPr>
      </w:pPr>
      <w:r w:rsidRPr="00B01FFA">
        <w:rPr>
          <w:rFonts w:ascii="Times New Roman" w:hAnsi="Times New Roman"/>
          <w:b/>
          <w:bCs/>
        </w:rPr>
        <w:t xml:space="preserve">Ras, G., Xie, N., Van Gerven, M., &amp; Doran, D. (2022). Explainable Deep Learning: A field guide for the uninitiated. </w:t>
      </w:r>
      <w:r w:rsidRPr="00B01FFA">
        <w:rPr>
          <w:rFonts w:ascii="Times New Roman" w:hAnsi="Times New Roman"/>
          <w:b/>
          <w:bCs/>
          <w:i/>
        </w:rPr>
        <w:t>Journal of Artificial Intelligence Research</w:t>
      </w:r>
      <w:r w:rsidRPr="00B01FFA">
        <w:rPr>
          <w:rFonts w:ascii="Times New Roman" w:hAnsi="Times New Roman"/>
          <w:b/>
          <w:bCs/>
        </w:rPr>
        <w:t xml:space="preserve">, </w:t>
      </w:r>
      <w:r w:rsidRPr="00B01FFA">
        <w:rPr>
          <w:rFonts w:ascii="Times New Roman" w:hAnsi="Times New Roman"/>
          <w:b/>
          <w:bCs/>
          <w:i/>
        </w:rPr>
        <w:t>73</w:t>
      </w:r>
      <w:r w:rsidRPr="00B01FFA">
        <w:rPr>
          <w:rFonts w:ascii="Times New Roman" w:hAnsi="Times New Roman"/>
          <w:b/>
          <w:bCs/>
        </w:rPr>
        <w:t xml:space="preserve">, 329–397. doi:10.1613/jair.1.13200 </w:t>
      </w:r>
    </w:p>
    <w:p w14:paraId="02AF229F" w14:textId="77777777" w:rsidR="007A4F66" w:rsidRDefault="00000000">
      <w:pPr>
        <w:spacing w:after="0" w:line="480" w:lineRule="auto"/>
        <w:ind w:left="720" w:hanging="720"/>
      </w:pPr>
      <w:r>
        <w:rPr>
          <w:rFonts w:ascii="Times New Roman" w:hAnsi="Times New Roman"/>
        </w:rPr>
        <w:t xml:space="preserve">Ribeiro, M. T., Singh, S., &amp; Guestrin, C. (2016). “why should I trust you?” Explaining the Predictions of Any Classifier. </w:t>
      </w:r>
      <w:r>
        <w:rPr>
          <w:rFonts w:ascii="Times New Roman" w:hAnsi="Times New Roman"/>
          <w:i/>
        </w:rPr>
        <w:t>Proceedings of the 22nd ACM SIGKDD International Conference on Knowledge Discovery and Data Mining</w:t>
      </w:r>
      <w:r>
        <w:rPr>
          <w:rFonts w:ascii="Times New Roman" w:hAnsi="Times New Roman"/>
        </w:rPr>
        <w:t xml:space="preserve">, 1135–1144. doi:10.1145/2939672.2939778 </w:t>
      </w:r>
    </w:p>
    <w:p w14:paraId="13CFD806" w14:textId="77777777" w:rsidR="007A4F66" w:rsidRDefault="00000000">
      <w:pPr>
        <w:spacing w:after="0" w:line="480" w:lineRule="auto"/>
        <w:ind w:left="720" w:hanging="720"/>
      </w:pPr>
      <w:r>
        <w:rPr>
          <w:rFonts w:ascii="Times New Roman" w:hAnsi="Times New Roman"/>
        </w:rPr>
        <w:t xml:space="preserve">Ribeiro, M. T., Singh, S., &amp; Guestrin, C. (2018). Anchors: High-precision model-agnostic explanations. </w:t>
      </w:r>
      <w:r>
        <w:rPr>
          <w:rFonts w:ascii="Times New Roman" w:hAnsi="Times New Roman"/>
          <w:i/>
        </w:rPr>
        <w:t>Proceedings of the AAAI Conference on Artificial Intelligence</w:t>
      </w:r>
      <w:r>
        <w:rPr>
          <w:rFonts w:ascii="Times New Roman" w:hAnsi="Times New Roman"/>
        </w:rPr>
        <w:t xml:space="preserve">, </w:t>
      </w:r>
      <w:r>
        <w:rPr>
          <w:rFonts w:ascii="Times New Roman" w:hAnsi="Times New Roman"/>
          <w:i/>
        </w:rPr>
        <w:t>32</w:t>
      </w:r>
      <w:r>
        <w:rPr>
          <w:rFonts w:ascii="Times New Roman" w:hAnsi="Times New Roman"/>
        </w:rPr>
        <w:t xml:space="preserve">(1). doi:10.1609/aaai.v32i1.11491 </w:t>
      </w:r>
    </w:p>
    <w:p w14:paraId="279F22BE" w14:textId="77777777" w:rsidR="007A4F66" w:rsidRPr="00343C02" w:rsidRDefault="00000000">
      <w:pPr>
        <w:spacing w:after="0" w:line="480" w:lineRule="auto"/>
        <w:ind w:left="720" w:hanging="720"/>
        <w:rPr>
          <w:b/>
          <w:bCs/>
        </w:rPr>
      </w:pPr>
      <w:r w:rsidRPr="00343C02">
        <w:rPr>
          <w:rFonts w:ascii="Times New Roman" w:hAnsi="Times New Roman"/>
          <w:b/>
          <w:bCs/>
        </w:rPr>
        <w:t xml:space="preserve">Schlegel, U., Arnout, H., El-Assady, M., Oelke, D., &amp; Keim, D. A. (2019). Towards a rigorous evaluation of XAI methods on time series. </w:t>
      </w:r>
      <w:r w:rsidRPr="00343C02">
        <w:rPr>
          <w:rFonts w:ascii="Times New Roman" w:hAnsi="Times New Roman"/>
          <w:b/>
          <w:bCs/>
          <w:i/>
        </w:rPr>
        <w:t>2019 IEEE/CVF International Conference on Computer Vision Workshop (ICCVW)</w:t>
      </w:r>
      <w:r w:rsidRPr="00343C02">
        <w:rPr>
          <w:rFonts w:ascii="Times New Roman" w:hAnsi="Times New Roman"/>
          <w:b/>
          <w:bCs/>
        </w:rPr>
        <w:t xml:space="preserve">. doi:10.1109/iccvw.2019.00516 </w:t>
      </w:r>
    </w:p>
    <w:p w14:paraId="1F04A539" w14:textId="77777777" w:rsidR="007A4F66" w:rsidRDefault="00000000">
      <w:pPr>
        <w:spacing w:after="0" w:line="480" w:lineRule="auto"/>
        <w:ind w:left="720" w:hanging="720"/>
      </w:pPr>
      <w:r>
        <w:rPr>
          <w:rFonts w:ascii="Times New Roman" w:hAnsi="Times New Roman"/>
        </w:rPr>
        <w:t xml:space="preserve">Sharma, A., &amp; Bathla, N. (2020). </w:t>
      </w:r>
      <w:r>
        <w:rPr>
          <w:rFonts w:ascii="Times New Roman" w:hAnsi="Times New Roman"/>
          <w:i/>
        </w:rPr>
        <w:t>Review on Credit Card Fraud Detection and Classification by Machine Learning and Data Mining Approaches</w:t>
      </w:r>
      <w:r>
        <w:rPr>
          <w:rFonts w:ascii="Times New Roman" w:hAnsi="Times New Roman"/>
        </w:rPr>
        <w:t xml:space="preserve">, </w:t>
      </w:r>
      <w:r>
        <w:rPr>
          <w:rFonts w:ascii="Times New Roman" w:hAnsi="Times New Roman"/>
          <w:i/>
        </w:rPr>
        <w:t>6</w:t>
      </w:r>
      <w:r>
        <w:rPr>
          <w:rFonts w:ascii="Times New Roman" w:hAnsi="Times New Roman"/>
        </w:rPr>
        <w:t xml:space="preserve">(4), 687–692. </w:t>
      </w:r>
    </w:p>
    <w:p w14:paraId="10433927" w14:textId="77777777" w:rsidR="007A4F66" w:rsidRDefault="00000000">
      <w:pPr>
        <w:spacing w:after="0" w:line="480" w:lineRule="auto"/>
        <w:ind w:left="720" w:hanging="720"/>
      </w:pPr>
      <w:r>
        <w:rPr>
          <w:rFonts w:ascii="Times New Roman" w:hAnsi="Times New Roman"/>
        </w:rPr>
        <w:t xml:space="preserve">Sharma, P., &amp; Priyanka, S. (2020). Credit card fraud detection using Deep Learning based on neural network and auto encoder. </w:t>
      </w:r>
      <w:r>
        <w:rPr>
          <w:rFonts w:ascii="Times New Roman" w:hAnsi="Times New Roman"/>
          <w:i/>
        </w:rPr>
        <w:t>International Journal of Engineering and Advanced Technology</w:t>
      </w:r>
      <w:r>
        <w:rPr>
          <w:rFonts w:ascii="Times New Roman" w:hAnsi="Times New Roman"/>
        </w:rPr>
        <w:t xml:space="preserve">, </w:t>
      </w:r>
      <w:r>
        <w:rPr>
          <w:rFonts w:ascii="Times New Roman" w:hAnsi="Times New Roman"/>
          <w:i/>
        </w:rPr>
        <w:t>9</w:t>
      </w:r>
      <w:r>
        <w:rPr>
          <w:rFonts w:ascii="Times New Roman" w:hAnsi="Times New Roman"/>
        </w:rPr>
        <w:t xml:space="preserve">(5), 1140–1143. doi:10.35940/ijeat.e9934.069520 </w:t>
      </w:r>
    </w:p>
    <w:p w14:paraId="7DF43E8B" w14:textId="77777777" w:rsidR="007A4F66" w:rsidRDefault="00000000">
      <w:pPr>
        <w:spacing w:after="0" w:line="480" w:lineRule="auto"/>
        <w:ind w:left="720" w:hanging="720"/>
      </w:pPr>
      <w:r>
        <w:rPr>
          <w:rFonts w:ascii="Times New Roman" w:hAnsi="Times New Roman"/>
        </w:rPr>
        <w:t xml:space="preserve">Sinanc, D., Demirezen, U., &amp; Sağıroğlu, Ş. (2021). Explainable Credit Card Fraud Detection with Image Conversion. </w:t>
      </w:r>
      <w:r>
        <w:rPr>
          <w:rFonts w:ascii="Times New Roman" w:hAnsi="Times New Roman"/>
          <w:i/>
        </w:rPr>
        <w:t>ADCAIJ: Advances in Distributed Computing and Artificial Intelligence Journal</w:t>
      </w:r>
      <w:r>
        <w:rPr>
          <w:rFonts w:ascii="Times New Roman" w:hAnsi="Times New Roman"/>
        </w:rPr>
        <w:t xml:space="preserve">, </w:t>
      </w:r>
      <w:r>
        <w:rPr>
          <w:rFonts w:ascii="Times New Roman" w:hAnsi="Times New Roman"/>
          <w:i/>
        </w:rPr>
        <w:t>10</w:t>
      </w:r>
      <w:r>
        <w:rPr>
          <w:rFonts w:ascii="Times New Roman" w:hAnsi="Times New Roman"/>
        </w:rPr>
        <w:t>(1), 63–76. doi:10.14201/adcaij20211016376 A new explainable artificial intelligence approach is ... presented. In this way, feature relationships that have a dominant effect on fraud detection are revealed.</w:t>
      </w:r>
    </w:p>
    <w:p w14:paraId="1E104F3D" w14:textId="77777777" w:rsidR="007A4F66" w:rsidRPr="00343C02" w:rsidRDefault="00000000">
      <w:pPr>
        <w:spacing w:after="0" w:line="480" w:lineRule="auto"/>
        <w:ind w:left="720" w:hanging="720"/>
        <w:rPr>
          <w:b/>
          <w:bCs/>
        </w:rPr>
      </w:pPr>
      <w:r w:rsidRPr="00343C02">
        <w:rPr>
          <w:rFonts w:ascii="Times New Roman" w:hAnsi="Times New Roman"/>
          <w:b/>
          <w:bCs/>
        </w:rPr>
        <w:t xml:space="preserve">Sullivan, R. S., &amp; Longo, L. (2023). Explaining deep Q-learning experience replay with Shapley additive explanations. </w:t>
      </w:r>
      <w:r w:rsidRPr="00343C02">
        <w:rPr>
          <w:rFonts w:ascii="Times New Roman" w:hAnsi="Times New Roman"/>
          <w:b/>
          <w:bCs/>
          <w:i/>
        </w:rPr>
        <w:t>Machine Learning and Knowledge Extraction</w:t>
      </w:r>
      <w:r w:rsidRPr="00343C02">
        <w:rPr>
          <w:rFonts w:ascii="Times New Roman" w:hAnsi="Times New Roman"/>
          <w:b/>
          <w:bCs/>
        </w:rPr>
        <w:t xml:space="preserve">, </w:t>
      </w:r>
      <w:r w:rsidRPr="00343C02">
        <w:rPr>
          <w:rFonts w:ascii="Times New Roman" w:hAnsi="Times New Roman"/>
          <w:b/>
          <w:bCs/>
          <w:i/>
        </w:rPr>
        <w:t>5</w:t>
      </w:r>
      <w:r w:rsidRPr="00343C02">
        <w:rPr>
          <w:rFonts w:ascii="Times New Roman" w:hAnsi="Times New Roman"/>
          <w:b/>
          <w:bCs/>
        </w:rPr>
        <w:t xml:space="preserve">(4), 1433–1455. doi:10.3390/make5040072 </w:t>
      </w:r>
    </w:p>
    <w:p w14:paraId="72BC8AA2" w14:textId="77777777" w:rsidR="007A4F66" w:rsidRDefault="00000000">
      <w:pPr>
        <w:spacing w:after="0" w:line="480" w:lineRule="auto"/>
        <w:ind w:left="720" w:hanging="720"/>
      </w:pPr>
      <w:r>
        <w:rPr>
          <w:rFonts w:ascii="Times New Roman" w:hAnsi="Times New Roman"/>
        </w:rPr>
        <w:t xml:space="preserve">Vilone, G., &amp; Longo, L. (2021a). A quantitative evaluation of global, rule-based explanations of Post-Hoc, model agnostic methods. </w:t>
      </w:r>
      <w:r>
        <w:rPr>
          <w:rFonts w:ascii="Times New Roman" w:hAnsi="Times New Roman"/>
          <w:i/>
        </w:rPr>
        <w:t>Frontiers in Artificial Intelligence</w:t>
      </w:r>
      <w:r>
        <w:rPr>
          <w:rFonts w:ascii="Times New Roman" w:hAnsi="Times New Roman"/>
        </w:rPr>
        <w:t xml:space="preserve">, </w:t>
      </w:r>
      <w:r>
        <w:rPr>
          <w:rFonts w:ascii="Times New Roman" w:hAnsi="Times New Roman"/>
          <w:i/>
        </w:rPr>
        <w:t>4</w:t>
      </w:r>
      <w:r>
        <w:rPr>
          <w:rFonts w:ascii="Times New Roman" w:hAnsi="Times New Roman"/>
        </w:rPr>
        <w:t xml:space="preserve">. doi:10.3389/frai.2021.717899 </w:t>
      </w:r>
    </w:p>
    <w:p w14:paraId="461F60E3" w14:textId="77777777" w:rsidR="007A4F66" w:rsidRDefault="00000000">
      <w:pPr>
        <w:spacing w:after="0" w:line="480" w:lineRule="auto"/>
        <w:ind w:left="720" w:hanging="720"/>
      </w:pPr>
      <w:r>
        <w:rPr>
          <w:rFonts w:ascii="Times New Roman" w:hAnsi="Times New Roman"/>
        </w:rPr>
        <w:t xml:space="preserve">Vilone, G., &amp; Longo, L. (2021b). Classification of explainable artificial intelligence methods through their output formats. </w:t>
      </w:r>
      <w:r>
        <w:rPr>
          <w:rFonts w:ascii="Times New Roman" w:hAnsi="Times New Roman"/>
          <w:i/>
        </w:rPr>
        <w:t>Machine Learning and Knowledge Extraction</w:t>
      </w:r>
      <w:r>
        <w:rPr>
          <w:rFonts w:ascii="Times New Roman" w:hAnsi="Times New Roman"/>
        </w:rPr>
        <w:t xml:space="preserve">, </w:t>
      </w:r>
      <w:r>
        <w:rPr>
          <w:rFonts w:ascii="Times New Roman" w:hAnsi="Times New Roman"/>
          <w:i/>
        </w:rPr>
        <w:t>3</w:t>
      </w:r>
      <w:r>
        <w:rPr>
          <w:rFonts w:ascii="Times New Roman" w:hAnsi="Times New Roman"/>
        </w:rPr>
        <w:t xml:space="preserve">(3), 615–661. doi:10.3390/make3030032 </w:t>
      </w:r>
    </w:p>
    <w:p w14:paraId="3CD4BE01" w14:textId="77777777" w:rsidR="007A4F66" w:rsidRDefault="00000000">
      <w:pPr>
        <w:spacing w:after="0" w:line="480" w:lineRule="auto"/>
        <w:ind w:left="720" w:hanging="720"/>
      </w:pPr>
      <w:r>
        <w:rPr>
          <w:rFonts w:ascii="Times New Roman" w:hAnsi="Times New Roman"/>
        </w:rPr>
        <w:t xml:space="preserve">Vilone, G., &amp; Longo, L. (2021c). Notions of explainability and evaluation approaches for Explainable Artificial Intelligence. </w:t>
      </w:r>
      <w:r>
        <w:rPr>
          <w:rFonts w:ascii="Times New Roman" w:hAnsi="Times New Roman"/>
          <w:i/>
        </w:rPr>
        <w:t>Information Fusion</w:t>
      </w:r>
      <w:r>
        <w:rPr>
          <w:rFonts w:ascii="Times New Roman" w:hAnsi="Times New Roman"/>
        </w:rPr>
        <w:t xml:space="preserve">, </w:t>
      </w:r>
      <w:r>
        <w:rPr>
          <w:rFonts w:ascii="Times New Roman" w:hAnsi="Times New Roman"/>
          <w:i/>
        </w:rPr>
        <w:t>76</w:t>
      </w:r>
      <w:r>
        <w:rPr>
          <w:rFonts w:ascii="Times New Roman" w:hAnsi="Times New Roman"/>
        </w:rPr>
        <w:t xml:space="preserve">, 89–106. doi:10.1016/j.inffus.2021.05.009 </w:t>
      </w:r>
    </w:p>
    <w:p w14:paraId="488A0886" w14:textId="77777777" w:rsidR="007A4F66" w:rsidRPr="00343C02" w:rsidRDefault="00000000">
      <w:pPr>
        <w:spacing w:after="0" w:line="480" w:lineRule="auto"/>
        <w:ind w:left="720" w:hanging="720"/>
        <w:rPr>
          <w:b/>
          <w:bCs/>
        </w:rPr>
      </w:pPr>
      <w:r w:rsidRPr="00343C02">
        <w:rPr>
          <w:rFonts w:ascii="Times New Roman" w:hAnsi="Times New Roman"/>
          <w:b/>
          <w:bCs/>
        </w:rPr>
        <w:t xml:space="preserve">Vouros, G. A. (2022). Explainable deep reinforcement learning: State of the art and Challenges. </w:t>
      </w:r>
      <w:r w:rsidRPr="00343C02">
        <w:rPr>
          <w:rFonts w:ascii="Times New Roman" w:hAnsi="Times New Roman"/>
          <w:b/>
          <w:bCs/>
          <w:i/>
        </w:rPr>
        <w:t>ACM Computing Surveys</w:t>
      </w:r>
      <w:r w:rsidRPr="00343C02">
        <w:rPr>
          <w:rFonts w:ascii="Times New Roman" w:hAnsi="Times New Roman"/>
          <w:b/>
          <w:bCs/>
        </w:rPr>
        <w:t xml:space="preserve">, </w:t>
      </w:r>
      <w:r w:rsidRPr="00343C02">
        <w:rPr>
          <w:rFonts w:ascii="Times New Roman" w:hAnsi="Times New Roman"/>
          <w:b/>
          <w:bCs/>
          <w:i/>
        </w:rPr>
        <w:t>55</w:t>
      </w:r>
      <w:r w:rsidRPr="00343C02">
        <w:rPr>
          <w:rFonts w:ascii="Times New Roman" w:hAnsi="Times New Roman"/>
          <w:b/>
          <w:bCs/>
        </w:rPr>
        <w:t xml:space="preserve">(5), 1–39. doi:10.1145/3527448 </w:t>
      </w:r>
    </w:p>
    <w:p w14:paraId="7275E68D" w14:textId="77777777" w:rsidR="007A4F66" w:rsidRPr="00343C02" w:rsidRDefault="00000000">
      <w:pPr>
        <w:spacing w:after="0" w:line="480" w:lineRule="auto"/>
        <w:ind w:left="720" w:hanging="720"/>
        <w:rPr>
          <w:b/>
          <w:bCs/>
        </w:rPr>
      </w:pPr>
      <w:r w:rsidRPr="00343C02">
        <w:rPr>
          <w:rFonts w:ascii="Times New Roman" w:hAnsi="Times New Roman"/>
          <w:b/>
          <w:bCs/>
        </w:rPr>
        <w:t xml:space="preserve">Wu, T.-Y., &amp; Wang, Y.-T. (2021). Locally interpretable one-class anomaly detection for credit card fraud detection. </w:t>
      </w:r>
      <w:r w:rsidRPr="00343C02">
        <w:rPr>
          <w:rFonts w:ascii="Times New Roman" w:hAnsi="Times New Roman"/>
          <w:b/>
          <w:bCs/>
          <w:i/>
        </w:rPr>
        <w:t>2021 International Conference on Technologies and Applications of Artificial Intelligence (TAAI)</w:t>
      </w:r>
      <w:r w:rsidRPr="00343C02">
        <w:rPr>
          <w:rFonts w:ascii="Times New Roman" w:hAnsi="Times New Roman"/>
          <w:b/>
          <w:bCs/>
        </w:rPr>
        <w:t xml:space="preserve">. doi:10.1109/taai54685.2021.00014 </w:t>
      </w:r>
    </w:p>
    <w:sectPr w:rsidR="007A4F66" w:rsidRPr="00343C02" w:rsidSect="00EC5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0BF59" w14:textId="77777777" w:rsidR="006417CF" w:rsidRDefault="006417CF" w:rsidP="00C703AC">
      <w:pPr>
        <w:spacing w:after="0" w:line="240" w:lineRule="auto"/>
      </w:pPr>
      <w:r>
        <w:separator/>
      </w:r>
    </w:p>
  </w:endnote>
  <w:endnote w:type="continuationSeparator" w:id="0">
    <w:p w14:paraId="5E8BF743" w14:textId="77777777" w:rsidR="006417CF" w:rsidRDefault="006417CF"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Menlo">
    <w:charset w:val="00"/>
    <w:family w:val="swiss"/>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3BCA2" w14:textId="77777777" w:rsidR="006417CF" w:rsidRDefault="006417CF" w:rsidP="00C703AC">
      <w:pPr>
        <w:spacing w:after="0" w:line="240" w:lineRule="auto"/>
      </w:pPr>
      <w:r>
        <w:separator/>
      </w:r>
    </w:p>
  </w:footnote>
  <w:footnote w:type="continuationSeparator" w:id="0">
    <w:p w14:paraId="378194F4" w14:textId="77777777" w:rsidR="006417CF" w:rsidRDefault="006417CF" w:rsidP="00C703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8DC"/>
    <w:rsid w:val="00046F44"/>
    <w:rsid w:val="0009295A"/>
    <w:rsid w:val="00132876"/>
    <w:rsid w:val="00166C0F"/>
    <w:rsid w:val="0017341D"/>
    <w:rsid w:val="001845E1"/>
    <w:rsid w:val="00196D01"/>
    <w:rsid w:val="001A6335"/>
    <w:rsid w:val="001C182B"/>
    <w:rsid w:val="001D7845"/>
    <w:rsid w:val="00215EFA"/>
    <w:rsid w:val="0022454E"/>
    <w:rsid w:val="00230005"/>
    <w:rsid w:val="00277864"/>
    <w:rsid w:val="002810F1"/>
    <w:rsid w:val="0028666D"/>
    <w:rsid w:val="002B39F0"/>
    <w:rsid w:val="00301047"/>
    <w:rsid w:val="00343C02"/>
    <w:rsid w:val="00363758"/>
    <w:rsid w:val="00380689"/>
    <w:rsid w:val="004254C1"/>
    <w:rsid w:val="00425568"/>
    <w:rsid w:val="004D7CED"/>
    <w:rsid w:val="00560409"/>
    <w:rsid w:val="0059122C"/>
    <w:rsid w:val="00591EE1"/>
    <w:rsid w:val="005C4E6E"/>
    <w:rsid w:val="0061198C"/>
    <w:rsid w:val="006417CF"/>
    <w:rsid w:val="006437CE"/>
    <w:rsid w:val="00645D71"/>
    <w:rsid w:val="00650E13"/>
    <w:rsid w:val="0066672F"/>
    <w:rsid w:val="00677111"/>
    <w:rsid w:val="006C4B18"/>
    <w:rsid w:val="006F327F"/>
    <w:rsid w:val="00724D19"/>
    <w:rsid w:val="007729B7"/>
    <w:rsid w:val="007A4F66"/>
    <w:rsid w:val="008043D2"/>
    <w:rsid w:val="00825C02"/>
    <w:rsid w:val="008347C2"/>
    <w:rsid w:val="008B4316"/>
    <w:rsid w:val="008F004A"/>
    <w:rsid w:val="00950249"/>
    <w:rsid w:val="00957A37"/>
    <w:rsid w:val="00994F5E"/>
    <w:rsid w:val="009B2FC0"/>
    <w:rsid w:val="00A46FF4"/>
    <w:rsid w:val="00A73C52"/>
    <w:rsid w:val="00AE2309"/>
    <w:rsid w:val="00B01FFA"/>
    <w:rsid w:val="00B038AF"/>
    <w:rsid w:val="00B3247C"/>
    <w:rsid w:val="00B429D7"/>
    <w:rsid w:val="00BA3405"/>
    <w:rsid w:val="00C3385F"/>
    <w:rsid w:val="00C62D35"/>
    <w:rsid w:val="00C703AC"/>
    <w:rsid w:val="00C727AF"/>
    <w:rsid w:val="00C74D24"/>
    <w:rsid w:val="00CD0A30"/>
    <w:rsid w:val="00CD7014"/>
    <w:rsid w:val="00CF5BF1"/>
    <w:rsid w:val="00D3381C"/>
    <w:rsid w:val="00E06ACC"/>
    <w:rsid w:val="00E87384"/>
    <w:rsid w:val="00E90F6B"/>
    <w:rsid w:val="00EA3EEA"/>
    <w:rsid w:val="00EA68DC"/>
    <w:rsid w:val="00EA7172"/>
    <w:rsid w:val="00EC58FC"/>
    <w:rsid w:val="00EC60B3"/>
    <w:rsid w:val="00F21E2D"/>
    <w:rsid w:val="00F27344"/>
    <w:rsid w:val="00F72E56"/>
    <w:rsid w:val="00F80265"/>
    <w:rsid w:val="00F82640"/>
    <w:rsid w:val="00FD6CC0"/>
    <w:rsid w:val="00FF3DFA"/>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CC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6335"/>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paragraph" w:styleId="HTMLPreformatted">
    <w:name w:val="HTML Preformatted"/>
    <w:basedOn w:val="Normal"/>
    <w:link w:val="HTMLPreformattedChar"/>
    <w:uiPriority w:val="99"/>
    <w:unhideWhenUsed/>
    <w:rsid w:val="00EA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A717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80773">
      <w:bodyDiv w:val="1"/>
      <w:marLeft w:val="0"/>
      <w:marRight w:val="0"/>
      <w:marTop w:val="0"/>
      <w:marBottom w:val="0"/>
      <w:divBdr>
        <w:top w:val="none" w:sz="0" w:space="0" w:color="auto"/>
        <w:left w:val="none" w:sz="0" w:space="0" w:color="auto"/>
        <w:bottom w:val="none" w:sz="0" w:space="0" w:color="auto"/>
        <w:right w:val="none" w:sz="0" w:space="0" w:color="auto"/>
      </w:divBdr>
    </w:div>
    <w:div w:id="621155419">
      <w:bodyDiv w:val="1"/>
      <w:marLeft w:val="0"/>
      <w:marRight w:val="0"/>
      <w:marTop w:val="0"/>
      <w:marBottom w:val="0"/>
      <w:divBdr>
        <w:top w:val="none" w:sz="0" w:space="0" w:color="auto"/>
        <w:left w:val="none" w:sz="0" w:space="0" w:color="auto"/>
        <w:bottom w:val="none" w:sz="0" w:space="0" w:color="auto"/>
        <w:right w:val="none" w:sz="0" w:space="0" w:color="auto"/>
      </w:divBdr>
    </w:div>
    <w:div w:id="62613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2018-12-05T18:01:00Z</dcterms:created>
  <dcterms:modified xsi:type="dcterms:W3CDTF">2023-11-04T18:58:00Z</dcterms:modified>
</cp:coreProperties>
</file>