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252538" w14:textId="77777777" w:rsidR="00EA7172" w:rsidRPr="00EA3EEA" w:rsidRDefault="00EA7172" w:rsidP="00EC58FC">
      <w:pPr>
        <w:spacing w:after="0"/>
        <w:jc w:val="center"/>
        <w:rPr>
          <w:rFonts w:ascii="Times New Roman" w:hAnsi="Times New Roman"/>
        </w:rPr>
      </w:pPr>
      <w:r w:rsidRPr="00EA3EEA">
        <w:rPr>
          <w:rFonts w:ascii="Times New Roman" w:hAnsi="Times New Roman"/>
        </w:rPr>
        <w:t>References</w:t>
      </w:r>
    </w:p>
    <w:p w14:paraId="6011ADE8" w14:textId="77777777" w:rsidR="00994F5E" w:rsidRDefault="00994F5E" w:rsidP="00804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Menlo"/>
          <w:color w:val="404040"/>
          <w:szCs w:val="18"/>
        </w:rPr>
      </w:pPr>
    </w:p>
    <w:p w14:paraId="214991F2" w14:textId="77777777" w:rsidR="006B15A1" w:rsidRPr="00D64B17" w:rsidRDefault="00000000">
      <w:pPr>
        <w:spacing w:after="0" w:line="480" w:lineRule="auto"/>
        <w:ind w:left="720" w:hanging="720"/>
        <w:rPr>
          <w:rFonts w:ascii="Franklin Gothic Book" w:hAnsi="Franklin Gothic Book"/>
          <w:sz w:val="20"/>
          <w:szCs w:val="20"/>
        </w:rPr>
      </w:pPr>
      <w:r w:rsidRPr="00D64B17">
        <w:rPr>
          <w:rFonts w:ascii="Franklin Gothic Book" w:hAnsi="Franklin Gothic Book"/>
          <w:sz w:val="20"/>
          <w:szCs w:val="20"/>
        </w:rPr>
        <w:t xml:space="preserve">Adadi, A., &amp; Berrada, M. (2018). Peeking Inside the Black-Box: A Survey on Explainable Artificial Intelligence (XAI). </w:t>
      </w:r>
      <w:r w:rsidRPr="00D64B17">
        <w:rPr>
          <w:rFonts w:ascii="Franklin Gothic Book" w:hAnsi="Franklin Gothic Book"/>
          <w:i/>
          <w:sz w:val="20"/>
          <w:szCs w:val="20"/>
        </w:rPr>
        <w:t>IEEE Access</w:t>
      </w:r>
      <w:r w:rsidRPr="00D64B17">
        <w:rPr>
          <w:rFonts w:ascii="Franklin Gothic Book" w:hAnsi="Franklin Gothic Book"/>
          <w:sz w:val="20"/>
          <w:szCs w:val="20"/>
        </w:rPr>
        <w:t xml:space="preserve">, </w:t>
      </w:r>
      <w:r w:rsidRPr="00D64B17">
        <w:rPr>
          <w:rFonts w:ascii="Franklin Gothic Book" w:hAnsi="Franklin Gothic Book"/>
          <w:i/>
          <w:sz w:val="20"/>
          <w:szCs w:val="20"/>
        </w:rPr>
        <w:t>6</w:t>
      </w:r>
      <w:r w:rsidRPr="00D64B17">
        <w:rPr>
          <w:rFonts w:ascii="Franklin Gothic Book" w:hAnsi="Franklin Gothic Book"/>
          <w:sz w:val="20"/>
          <w:szCs w:val="20"/>
        </w:rPr>
        <w:t xml:space="preserve">(52), 138–160. https://doi.org/10.1109/access.2018.2870052 </w:t>
      </w:r>
    </w:p>
    <w:p w14:paraId="1E70C3A3" w14:textId="77777777" w:rsidR="006B15A1" w:rsidRPr="00D64B17" w:rsidRDefault="00000000">
      <w:pPr>
        <w:spacing w:after="0" w:line="480" w:lineRule="auto"/>
        <w:ind w:left="720" w:hanging="720"/>
        <w:rPr>
          <w:rFonts w:ascii="Franklin Gothic Book" w:hAnsi="Franklin Gothic Book"/>
          <w:sz w:val="20"/>
          <w:szCs w:val="20"/>
        </w:rPr>
      </w:pPr>
      <w:r w:rsidRPr="00D64B17">
        <w:rPr>
          <w:rFonts w:ascii="Franklin Gothic Book" w:hAnsi="Franklin Gothic Book"/>
          <w:sz w:val="20"/>
          <w:szCs w:val="20"/>
        </w:rPr>
        <w:t xml:space="preserve">Anowar, F., &amp; Sadaoui, S. (2020). Incremental Neural-Network Learning for Big Fraud Data. </w:t>
      </w:r>
      <w:r w:rsidRPr="00D64B17">
        <w:rPr>
          <w:rFonts w:ascii="Franklin Gothic Book" w:hAnsi="Franklin Gothic Book"/>
          <w:i/>
          <w:sz w:val="20"/>
          <w:szCs w:val="20"/>
        </w:rPr>
        <w:t>2020 IEEE International Conference on Systems, Man, and Cybernetics (SMC)</w:t>
      </w:r>
      <w:r w:rsidRPr="00D64B17">
        <w:rPr>
          <w:rFonts w:ascii="Franklin Gothic Book" w:hAnsi="Franklin Gothic Book"/>
          <w:sz w:val="20"/>
          <w:szCs w:val="20"/>
        </w:rPr>
        <w:t xml:space="preserve">, </w:t>
      </w:r>
      <w:r w:rsidRPr="00D64B17">
        <w:rPr>
          <w:rFonts w:ascii="Franklin Gothic Book" w:hAnsi="Franklin Gothic Book"/>
          <w:i/>
          <w:sz w:val="20"/>
          <w:szCs w:val="20"/>
        </w:rPr>
        <w:t>1</w:t>
      </w:r>
      <w:r w:rsidRPr="00D64B17">
        <w:rPr>
          <w:rFonts w:ascii="Franklin Gothic Book" w:hAnsi="Franklin Gothic Book"/>
          <w:sz w:val="20"/>
          <w:szCs w:val="20"/>
        </w:rPr>
        <w:t xml:space="preserve">(1), 1–4. https://doi.org/10.1109/smc42975.2020.9283136 </w:t>
      </w:r>
    </w:p>
    <w:p w14:paraId="670E0C12" w14:textId="77777777" w:rsidR="006B15A1" w:rsidRPr="00D64B17" w:rsidRDefault="00000000">
      <w:pPr>
        <w:spacing w:after="0" w:line="480" w:lineRule="auto"/>
        <w:ind w:left="720" w:hanging="720"/>
        <w:rPr>
          <w:rFonts w:ascii="Franklin Gothic Book" w:hAnsi="Franklin Gothic Book"/>
          <w:sz w:val="20"/>
          <w:szCs w:val="20"/>
        </w:rPr>
      </w:pPr>
      <w:r w:rsidRPr="00D64B17">
        <w:rPr>
          <w:rFonts w:ascii="Franklin Gothic Book" w:hAnsi="Franklin Gothic Book"/>
          <w:sz w:val="20"/>
          <w:szCs w:val="20"/>
        </w:rPr>
        <w:t xml:space="preserve">Batageri, A., &amp; Kumar, S. (2021). Credit card fraud detection using artificial neural network. </w:t>
      </w:r>
      <w:r w:rsidRPr="00D64B17">
        <w:rPr>
          <w:rFonts w:ascii="Franklin Gothic Book" w:hAnsi="Franklin Gothic Book"/>
          <w:i/>
          <w:sz w:val="20"/>
          <w:szCs w:val="20"/>
        </w:rPr>
        <w:t>Global Transitions Proceedings</w:t>
      </w:r>
      <w:r w:rsidRPr="00D64B17">
        <w:rPr>
          <w:rFonts w:ascii="Franklin Gothic Book" w:hAnsi="Franklin Gothic Book"/>
          <w:sz w:val="20"/>
          <w:szCs w:val="20"/>
        </w:rPr>
        <w:t xml:space="preserve">, </w:t>
      </w:r>
      <w:r w:rsidRPr="00D64B17">
        <w:rPr>
          <w:rFonts w:ascii="Franklin Gothic Book" w:hAnsi="Franklin Gothic Book"/>
          <w:i/>
          <w:sz w:val="20"/>
          <w:szCs w:val="20"/>
        </w:rPr>
        <w:t>2</w:t>
      </w:r>
      <w:r w:rsidRPr="00D64B17">
        <w:rPr>
          <w:rFonts w:ascii="Franklin Gothic Book" w:hAnsi="Franklin Gothic Book"/>
          <w:sz w:val="20"/>
          <w:szCs w:val="20"/>
        </w:rPr>
        <w:t xml:space="preserve">(1), 35–41. https://doi.org/10.1016/j.gltp.2021.01.006 </w:t>
      </w:r>
    </w:p>
    <w:p w14:paraId="20F1EFCC" w14:textId="77777777" w:rsidR="006B15A1" w:rsidRPr="00D64B17" w:rsidRDefault="00000000">
      <w:pPr>
        <w:spacing w:after="0" w:line="480" w:lineRule="auto"/>
        <w:ind w:left="720" w:hanging="720"/>
        <w:rPr>
          <w:rFonts w:ascii="Franklin Gothic Book" w:hAnsi="Franklin Gothic Book"/>
          <w:sz w:val="20"/>
          <w:szCs w:val="20"/>
        </w:rPr>
      </w:pPr>
      <w:r w:rsidRPr="00D64B17">
        <w:rPr>
          <w:rFonts w:ascii="Franklin Gothic Book" w:hAnsi="Franklin Gothic Book"/>
          <w:sz w:val="20"/>
          <w:szCs w:val="20"/>
        </w:rPr>
        <w:t xml:space="preserve">Bordo, M., &amp; Levin, A. (2019). Digital cash: Principles &amp; practical steps. </w:t>
      </w:r>
      <w:r w:rsidRPr="00D64B17">
        <w:rPr>
          <w:rFonts w:ascii="Franklin Gothic Book" w:hAnsi="Franklin Gothic Book"/>
          <w:i/>
          <w:sz w:val="20"/>
          <w:szCs w:val="20"/>
        </w:rPr>
        <w:t>National Bureau of Economic Research</w:t>
      </w:r>
      <w:r w:rsidRPr="00D64B17">
        <w:rPr>
          <w:rFonts w:ascii="Franklin Gothic Book" w:hAnsi="Franklin Gothic Book"/>
          <w:sz w:val="20"/>
          <w:szCs w:val="20"/>
        </w:rPr>
        <w:t xml:space="preserve">. https://doi.org/10.3386/w25455 </w:t>
      </w:r>
    </w:p>
    <w:p w14:paraId="7C89361A" w14:textId="77777777" w:rsidR="006B15A1" w:rsidRPr="00D64B17" w:rsidRDefault="00000000">
      <w:pPr>
        <w:spacing w:after="0" w:line="480" w:lineRule="auto"/>
        <w:ind w:left="720" w:hanging="720"/>
        <w:rPr>
          <w:rFonts w:ascii="Franklin Gothic Book" w:hAnsi="Franklin Gothic Book"/>
          <w:sz w:val="20"/>
          <w:szCs w:val="20"/>
        </w:rPr>
      </w:pPr>
      <w:r w:rsidRPr="00D64B17">
        <w:rPr>
          <w:rFonts w:ascii="Franklin Gothic Book" w:hAnsi="Franklin Gothic Book"/>
          <w:sz w:val="20"/>
          <w:szCs w:val="20"/>
        </w:rPr>
        <w:t xml:space="preserve">Dal Pozzolo, A., Caelen, O., Le Borgne, Y.-A., Waterschoot, S., &amp; Bontempi, G. (2014). Learned lessons in credit card fraud detection from a practitioner perspective. </w:t>
      </w:r>
      <w:r w:rsidRPr="00D64B17">
        <w:rPr>
          <w:rFonts w:ascii="Franklin Gothic Book" w:hAnsi="Franklin Gothic Book"/>
          <w:i/>
          <w:sz w:val="20"/>
          <w:szCs w:val="20"/>
        </w:rPr>
        <w:t>Expert Systems with Applications</w:t>
      </w:r>
      <w:r w:rsidRPr="00D64B17">
        <w:rPr>
          <w:rFonts w:ascii="Franklin Gothic Book" w:hAnsi="Franklin Gothic Book"/>
          <w:sz w:val="20"/>
          <w:szCs w:val="20"/>
        </w:rPr>
        <w:t xml:space="preserve">, </w:t>
      </w:r>
      <w:r w:rsidRPr="00D64B17">
        <w:rPr>
          <w:rFonts w:ascii="Franklin Gothic Book" w:hAnsi="Franklin Gothic Book"/>
          <w:i/>
          <w:sz w:val="20"/>
          <w:szCs w:val="20"/>
        </w:rPr>
        <w:t>41</w:t>
      </w:r>
      <w:r w:rsidRPr="00D64B17">
        <w:rPr>
          <w:rFonts w:ascii="Franklin Gothic Book" w:hAnsi="Franklin Gothic Book"/>
          <w:sz w:val="20"/>
          <w:szCs w:val="20"/>
        </w:rPr>
        <w:t xml:space="preserve">(10), 4915–4928. https://doi.org/10.1016/j.eswa.2014.02.026 </w:t>
      </w:r>
    </w:p>
    <w:p w14:paraId="36ED9136" w14:textId="77777777" w:rsidR="006B15A1" w:rsidRPr="00D64B17" w:rsidRDefault="00000000">
      <w:pPr>
        <w:spacing w:after="0" w:line="480" w:lineRule="auto"/>
        <w:ind w:left="720" w:hanging="720"/>
        <w:rPr>
          <w:rFonts w:ascii="Franklin Gothic Book" w:hAnsi="Franklin Gothic Book"/>
          <w:sz w:val="20"/>
          <w:szCs w:val="20"/>
        </w:rPr>
      </w:pPr>
      <w:r w:rsidRPr="00D64B17">
        <w:rPr>
          <w:rFonts w:ascii="Franklin Gothic Book" w:hAnsi="Franklin Gothic Book"/>
          <w:sz w:val="20"/>
          <w:szCs w:val="20"/>
        </w:rPr>
        <w:t xml:space="preserve">Lundberg, S. M., &amp; Lee, S.-I. (2017). A Unified Approach to Interpreting Model Predictions. In </w:t>
      </w:r>
      <w:r w:rsidRPr="00D64B17">
        <w:rPr>
          <w:rFonts w:ascii="Franklin Gothic Book" w:hAnsi="Franklin Gothic Book"/>
          <w:i/>
          <w:sz w:val="20"/>
          <w:szCs w:val="20"/>
        </w:rPr>
        <w:t>Advances in Neural Information Processing Systems 30 (NIPS 2017)</w:t>
      </w:r>
      <w:r w:rsidRPr="00D64B17">
        <w:rPr>
          <w:rFonts w:ascii="Franklin Gothic Book" w:hAnsi="Franklin Gothic Book"/>
          <w:sz w:val="20"/>
          <w:szCs w:val="20"/>
        </w:rPr>
        <w:t xml:space="preserve"> (Vol. 30). essay, NeurIPS Proceedings. </w:t>
      </w:r>
    </w:p>
    <w:p w14:paraId="52E89191" w14:textId="77777777" w:rsidR="006B15A1" w:rsidRPr="00D64B17" w:rsidRDefault="00000000">
      <w:pPr>
        <w:spacing w:after="0" w:line="480" w:lineRule="auto"/>
        <w:ind w:left="720" w:hanging="720"/>
        <w:rPr>
          <w:rFonts w:ascii="Franklin Gothic Book" w:hAnsi="Franklin Gothic Book"/>
          <w:sz w:val="20"/>
          <w:szCs w:val="20"/>
        </w:rPr>
      </w:pPr>
      <w:r w:rsidRPr="00D64B17">
        <w:rPr>
          <w:rFonts w:ascii="Franklin Gothic Book" w:hAnsi="Franklin Gothic Book"/>
          <w:sz w:val="20"/>
          <w:szCs w:val="20"/>
        </w:rPr>
        <w:t xml:space="preserve">Nguyen, T. T., Tahir, H., Abdelrazek, M., Babar, A., Babar, A., Abdelrazek, M., Tahir, H., &amp; Nguyen, T. T. (2020). </w:t>
      </w:r>
      <w:r w:rsidRPr="00D64B17">
        <w:rPr>
          <w:rFonts w:ascii="Franklin Gothic Book" w:hAnsi="Franklin Gothic Book"/>
          <w:i/>
          <w:sz w:val="20"/>
          <w:szCs w:val="20"/>
        </w:rPr>
        <w:t>Deep Learning Methods for Credit Card Fraud Detection</w:t>
      </w:r>
      <w:r w:rsidRPr="00D64B17">
        <w:rPr>
          <w:rFonts w:ascii="Franklin Gothic Book" w:hAnsi="Franklin Gothic Book"/>
          <w:sz w:val="20"/>
          <w:szCs w:val="20"/>
        </w:rPr>
        <w:t xml:space="preserve">. arXiv.org. Retrieved 2022, from https://doi.org/10.48550/arXiv.2012.03754 </w:t>
      </w:r>
    </w:p>
    <w:p w14:paraId="3F25566C" w14:textId="77777777" w:rsidR="006B15A1" w:rsidRPr="00D64B17" w:rsidRDefault="00000000">
      <w:pPr>
        <w:spacing w:after="0" w:line="480" w:lineRule="auto"/>
        <w:ind w:left="720" w:hanging="720"/>
        <w:rPr>
          <w:rFonts w:ascii="Franklin Gothic Book" w:hAnsi="Franklin Gothic Book"/>
          <w:sz w:val="20"/>
          <w:szCs w:val="20"/>
        </w:rPr>
      </w:pPr>
      <w:r w:rsidRPr="00D64B17">
        <w:rPr>
          <w:rFonts w:ascii="Franklin Gothic Book" w:hAnsi="Franklin Gothic Book"/>
          <w:sz w:val="20"/>
          <w:szCs w:val="20"/>
        </w:rPr>
        <w:t xml:space="preserve">Priscilla, C. V., &amp; Prabha, D. P. (2020). Influence of optimizing xgboost to handle class imbalance in credit card fraud detection. </w:t>
      </w:r>
      <w:r w:rsidRPr="00D64B17">
        <w:rPr>
          <w:rFonts w:ascii="Franklin Gothic Book" w:hAnsi="Franklin Gothic Book"/>
          <w:i/>
          <w:sz w:val="20"/>
          <w:szCs w:val="20"/>
        </w:rPr>
        <w:t>2020 Third International Conference on Smart Systems and Inventive Technology (ICSSIT)</w:t>
      </w:r>
      <w:r w:rsidRPr="00D64B17">
        <w:rPr>
          <w:rFonts w:ascii="Franklin Gothic Book" w:hAnsi="Franklin Gothic Book"/>
          <w:sz w:val="20"/>
          <w:szCs w:val="20"/>
        </w:rPr>
        <w:t xml:space="preserve">, 1309–1315. https://doi.org/10.1109/icssit48917.2020.9214206 </w:t>
      </w:r>
    </w:p>
    <w:p w14:paraId="1671328C" w14:textId="77777777" w:rsidR="006B15A1" w:rsidRPr="00D64B17" w:rsidRDefault="00000000">
      <w:pPr>
        <w:spacing w:after="0" w:line="480" w:lineRule="auto"/>
        <w:ind w:left="720" w:hanging="720"/>
        <w:rPr>
          <w:rFonts w:ascii="Franklin Gothic Book" w:hAnsi="Franklin Gothic Book"/>
          <w:sz w:val="20"/>
          <w:szCs w:val="20"/>
        </w:rPr>
      </w:pPr>
      <w:r w:rsidRPr="00D64B17">
        <w:rPr>
          <w:rFonts w:ascii="Franklin Gothic Book" w:hAnsi="Franklin Gothic Book"/>
          <w:sz w:val="20"/>
          <w:szCs w:val="20"/>
        </w:rPr>
        <w:t xml:space="preserve">Psychoula, I., Gutmann, A., Mainali, P., Lee, S. H., Dunphy, P., &amp; Petitcolas, F. (2021). Explainable Machine Learning for Fraud Detection. </w:t>
      </w:r>
      <w:r w:rsidRPr="00D64B17">
        <w:rPr>
          <w:rFonts w:ascii="Franklin Gothic Book" w:hAnsi="Franklin Gothic Book"/>
          <w:i/>
          <w:sz w:val="20"/>
          <w:szCs w:val="20"/>
        </w:rPr>
        <w:t>Computer</w:t>
      </w:r>
      <w:r w:rsidRPr="00D64B17">
        <w:rPr>
          <w:rFonts w:ascii="Franklin Gothic Book" w:hAnsi="Franklin Gothic Book"/>
          <w:sz w:val="20"/>
          <w:szCs w:val="20"/>
        </w:rPr>
        <w:t xml:space="preserve">, </w:t>
      </w:r>
      <w:r w:rsidRPr="00D64B17">
        <w:rPr>
          <w:rFonts w:ascii="Franklin Gothic Book" w:hAnsi="Franklin Gothic Book"/>
          <w:i/>
          <w:sz w:val="20"/>
          <w:szCs w:val="20"/>
        </w:rPr>
        <w:t>54</w:t>
      </w:r>
      <w:r w:rsidRPr="00D64B17">
        <w:rPr>
          <w:rFonts w:ascii="Franklin Gothic Book" w:hAnsi="Franklin Gothic Book"/>
          <w:sz w:val="20"/>
          <w:szCs w:val="20"/>
        </w:rPr>
        <w:t xml:space="preserve">(10), 49–59. https://doi.org/10.1109/mc.2021.3081249 </w:t>
      </w:r>
    </w:p>
    <w:p w14:paraId="0FACD903" w14:textId="77777777" w:rsidR="006B15A1" w:rsidRPr="00D64B17" w:rsidRDefault="00000000">
      <w:pPr>
        <w:spacing w:after="0" w:line="480" w:lineRule="auto"/>
        <w:ind w:left="720" w:hanging="720"/>
        <w:rPr>
          <w:rFonts w:ascii="Franklin Gothic Book" w:hAnsi="Franklin Gothic Book"/>
          <w:sz w:val="20"/>
          <w:szCs w:val="20"/>
        </w:rPr>
      </w:pPr>
      <w:r w:rsidRPr="00D64B17">
        <w:rPr>
          <w:rFonts w:ascii="Franklin Gothic Book" w:hAnsi="Franklin Gothic Book"/>
          <w:sz w:val="20"/>
          <w:szCs w:val="20"/>
        </w:rPr>
        <w:t>Ribeiro, M. T., Singh, S., &amp; Guestrin, C. (2016). "</w:t>
      </w:r>
      <w:proofErr w:type="gramStart"/>
      <w:r w:rsidRPr="00D64B17">
        <w:rPr>
          <w:rFonts w:ascii="Franklin Gothic Book" w:hAnsi="Franklin Gothic Book"/>
          <w:sz w:val="20"/>
          <w:szCs w:val="20"/>
        </w:rPr>
        <w:t>why</w:t>
      </w:r>
      <w:proofErr w:type="gramEnd"/>
      <w:r w:rsidRPr="00D64B17">
        <w:rPr>
          <w:rFonts w:ascii="Franklin Gothic Book" w:hAnsi="Franklin Gothic Book"/>
          <w:sz w:val="20"/>
          <w:szCs w:val="20"/>
        </w:rPr>
        <w:t xml:space="preserve"> should I trust you?" Explaining the Predictions of Any Classifier. </w:t>
      </w:r>
      <w:r w:rsidRPr="00D64B17">
        <w:rPr>
          <w:rFonts w:ascii="Franklin Gothic Book" w:hAnsi="Franklin Gothic Book"/>
          <w:i/>
          <w:sz w:val="20"/>
          <w:szCs w:val="20"/>
        </w:rPr>
        <w:t>Proceedings of the 22nd ACM SIGKDD International Conference on Knowledge Discovery and Data Mining</w:t>
      </w:r>
      <w:r w:rsidRPr="00D64B17">
        <w:rPr>
          <w:rFonts w:ascii="Franklin Gothic Book" w:hAnsi="Franklin Gothic Book"/>
          <w:sz w:val="20"/>
          <w:szCs w:val="20"/>
        </w:rPr>
        <w:t xml:space="preserve">, 1135–1144. https://doi.org/10.1145/2939672.2939778 </w:t>
      </w:r>
    </w:p>
    <w:p w14:paraId="750E0BBF" w14:textId="77777777" w:rsidR="006B15A1" w:rsidRPr="00D64B17" w:rsidRDefault="00000000">
      <w:pPr>
        <w:spacing w:after="0" w:line="480" w:lineRule="auto"/>
        <w:ind w:left="720" w:hanging="720"/>
        <w:rPr>
          <w:rFonts w:ascii="Franklin Gothic Book" w:hAnsi="Franklin Gothic Book"/>
          <w:sz w:val="20"/>
          <w:szCs w:val="20"/>
        </w:rPr>
      </w:pPr>
      <w:r w:rsidRPr="00D64B17">
        <w:rPr>
          <w:rFonts w:ascii="Franklin Gothic Book" w:hAnsi="Franklin Gothic Book"/>
          <w:sz w:val="20"/>
          <w:szCs w:val="20"/>
        </w:rPr>
        <w:t xml:space="preserve">Sharma, A., &amp; Bathla, N. (2020). </w:t>
      </w:r>
      <w:r w:rsidRPr="00D64B17">
        <w:rPr>
          <w:rFonts w:ascii="Franklin Gothic Book" w:hAnsi="Franklin Gothic Book"/>
          <w:i/>
          <w:sz w:val="20"/>
          <w:szCs w:val="20"/>
        </w:rPr>
        <w:t>Review on Credit Card Fraud Detection and Classification by Machine Learning and Data Mining Approaches</w:t>
      </w:r>
      <w:r w:rsidRPr="00D64B17">
        <w:rPr>
          <w:rFonts w:ascii="Franklin Gothic Book" w:hAnsi="Franklin Gothic Book"/>
          <w:sz w:val="20"/>
          <w:szCs w:val="20"/>
        </w:rPr>
        <w:t xml:space="preserve">, </w:t>
      </w:r>
      <w:r w:rsidRPr="00D64B17">
        <w:rPr>
          <w:rFonts w:ascii="Franklin Gothic Book" w:hAnsi="Franklin Gothic Book"/>
          <w:i/>
          <w:sz w:val="20"/>
          <w:szCs w:val="20"/>
        </w:rPr>
        <w:t>6</w:t>
      </w:r>
      <w:r w:rsidRPr="00D64B17">
        <w:rPr>
          <w:rFonts w:ascii="Franklin Gothic Book" w:hAnsi="Franklin Gothic Book"/>
          <w:sz w:val="20"/>
          <w:szCs w:val="20"/>
        </w:rPr>
        <w:t xml:space="preserve">(4), 687–692. Retrieved from </w:t>
      </w:r>
      <w:r w:rsidRPr="00D64B17">
        <w:rPr>
          <w:rFonts w:ascii="Franklin Gothic Book" w:hAnsi="Franklin Gothic Book"/>
          <w:sz w:val="20"/>
          <w:szCs w:val="20"/>
        </w:rPr>
        <w:lastRenderedPageBreak/>
        <w:t xml:space="preserve">https://www.semanticscholar.org/paper/Review-on-credit-card-fraud-detection-and-by-and-Sharma-Bathla/b6c839cadb4c6281a934a8788fec93d5482e6af4. </w:t>
      </w:r>
    </w:p>
    <w:p w14:paraId="36E59F6A" w14:textId="77777777" w:rsidR="006B15A1" w:rsidRPr="00D64B17" w:rsidRDefault="00000000">
      <w:pPr>
        <w:spacing w:after="0" w:line="480" w:lineRule="auto"/>
        <w:ind w:left="720" w:hanging="720"/>
        <w:rPr>
          <w:rFonts w:ascii="Franklin Gothic Book" w:hAnsi="Franklin Gothic Book"/>
          <w:sz w:val="20"/>
          <w:szCs w:val="20"/>
        </w:rPr>
      </w:pPr>
      <w:r w:rsidRPr="00D64B17">
        <w:rPr>
          <w:rFonts w:ascii="Franklin Gothic Book" w:hAnsi="Franklin Gothic Book"/>
          <w:sz w:val="20"/>
          <w:szCs w:val="20"/>
        </w:rPr>
        <w:t xml:space="preserve">Sharma, P., &amp; Priyanka, S. (2020). Credit card fraud detection using Deep Learning based on neural network and auto encoder. </w:t>
      </w:r>
      <w:r w:rsidRPr="00D64B17">
        <w:rPr>
          <w:rFonts w:ascii="Franklin Gothic Book" w:hAnsi="Franklin Gothic Book"/>
          <w:i/>
          <w:sz w:val="20"/>
          <w:szCs w:val="20"/>
        </w:rPr>
        <w:t>International Journal of Engineering and Advanced Technology</w:t>
      </w:r>
      <w:r w:rsidRPr="00D64B17">
        <w:rPr>
          <w:rFonts w:ascii="Franklin Gothic Book" w:hAnsi="Franklin Gothic Book"/>
          <w:sz w:val="20"/>
          <w:szCs w:val="20"/>
        </w:rPr>
        <w:t xml:space="preserve">, </w:t>
      </w:r>
      <w:r w:rsidRPr="00D64B17">
        <w:rPr>
          <w:rFonts w:ascii="Franklin Gothic Book" w:hAnsi="Franklin Gothic Book"/>
          <w:i/>
          <w:sz w:val="20"/>
          <w:szCs w:val="20"/>
        </w:rPr>
        <w:t>9</w:t>
      </w:r>
      <w:r w:rsidRPr="00D64B17">
        <w:rPr>
          <w:rFonts w:ascii="Franklin Gothic Book" w:hAnsi="Franklin Gothic Book"/>
          <w:sz w:val="20"/>
          <w:szCs w:val="20"/>
        </w:rPr>
        <w:t xml:space="preserve">(5), 1140–1143. https://doi.org/10.35940/ijeat.e9934.069520 </w:t>
      </w:r>
    </w:p>
    <w:p w14:paraId="22217742" w14:textId="77777777" w:rsidR="006B15A1" w:rsidRPr="00D64B17" w:rsidRDefault="00000000">
      <w:pPr>
        <w:spacing w:after="0" w:line="480" w:lineRule="auto"/>
        <w:ind w:left="720" w:hanging="720"/>
        <w:rPr>
          <w:rFonts w:ascii="Franklin Gothic Book" w:hAnsi="Franklin Gothic Book"/>
          <w:sz w:val="20"/>
          <w:szCs w:val="20"/>
        </w:rPr>
      </w:pPr>
      <w:r w:rsidRPr="00D64B17">
        <w:rPr>
          <w:rFonts w:ascii="Franklin Gothic Book" w:hAnsi="Franklin Gothic Book"/>
          <w:sz w:val="20"/>
          <w:szCs w:val="20"/>
        </w:rPr>
        <w:t xml:space="preserve">Sinanc, D., Demirezen, U., &amp; Sağıroğlu, Ş. (2021). Explainable Credit Card Fraud Detection with Image Conversion. </w:t>
      </w:r>
      <w:r w:rsidRPr="00D64B17">
        <w:rPr>
          <w:rFonts w:ascii="Franklin Gothic Book" w:hAnsi="Franklin Gothic Book"/>
          <w:i/>
          <w:sz w:val="20"/>
          <w:szCs w:val="20"/>
        </w:rPr>
        <w:t>ADCAIJ: Advances in Distributed Computing and Artificial Intelligence Journal</w:t>
      </w:r>
      <w:r w:rsidRPr="00D64B17">
        <w:rPr>
          <w:rFonts w:ascii="Franklin Gothic Book" w:hAnsi="Franklin Gothic Book"/>
          <w:sz w:val="20"/>
          <w:szCs w:val="20"/>
        </w:rPr>
        <w:t xml:space="preserve">, </w:t>
      </w:r>
      <w:r w:rsidRPr="00D64B17">
        <w:rPr>
          <w:rFonts w:ascii="Franklin Gothic Book" w:hAnsi="Franklin Gothic Book"/>
          <w:i/>
          <w:sz w:val="20"/>
          <w:szCs w:val="20"/>
        </w:rPr>
        <w:t>10</w:t>
      </w:r>
      <w:r w:rsidRPr="00D64B17">
        <w:rPr>
          <w:rFonts w:ascii="Franklin Gothic Book" w:hAnsi="Franklin Gothic Book"/>
          <w:sz w:val="20"/>
          <w:szCs w:val="20"/>
        </w:rPr>
        <w:t>(1), 63–76. https://doi.org/10.14201/adcaij20211016376 A new explainable artificial intelligence approach is ... presented. In this way, feature relationships that have a dominant effect on fraud detection are revealed.</w:t>
      </w:r>
    </w:p>
    <w:p w14:paraId="78E8D8F8" w14:textId="77777777" w:rsidR="006B15A1" w:rsidRPr="00D64B17" w:rsidRDefault="00000000">
      <w:pPr>
        <w:spacing w:after="0" w:line="480" w:lineRule="auto"/>
        <w:ind w:left="720" w:hanging="720"/>
        <w:rPr>
          <w:rFonts w:ascii="Franklin Gothic Book" w:hAnsi="Franklin Gothic Book"/>
          <w:sz w:val="20"/>
          <w:szCs w:val="20"/>
        </w:rPr>
      </w:pPr>
      <w:r w:rsidRPr="00D64B17">
        <w:rPr>
          <w:rFonts w:ascii="Franklin Gothic Book" w:hAnsi="Franklin Gothic Book"/>
          <w:sz w:val="20"/>
          <w:szCs w:val="20"/>
        </w:rPr>
        <w:t xml:space="preserve">Vilone, G., &amp; Longo, L. (2021). A quantitative evaluation of global, rule-based explanations of </w:t>
      </w:r>
      <w:proofErr w:type="gramStart"/>
      <w:r w:rsidRPr="00D64B17">
        <w:rPr>
          <w:rFonts w:ascii="Franklin Gothic Book" w:hAnsi="Franklin Gothic Book"/>
          <w:sz w:val="20"/>
          <w:szCs w:val="20"/>
        </w:rPr>
        <w:t>Post-Hoc</w:t>
      </w:r>
      <w:proofErr w:type="gramEnd"/>
      <w:r w:rsidRPr="00D64B17">
        <w:rPr>
          <w:rFonts w:ascii="Franklin Gothic Book" w:hAnsi="Franklin Gothic Book"/>
          <w:sz w:val="20"/>
          <w:szCs w:val="20"/>
        </w:rPr>
        <w:t xml:space="preserve">, model agnostic methods. </w:t>
      </w:r>
      <w:r w:rsidRPr="00D64B17">
        <w:rPr>
          <w:rFonts w:ascii="Franklin Gothic Book" w:hAnsi="Franklin Gothic Book"/>
          <w:i/>
          <w:sz w:val="20"/>
          <w:szCs w:val="20"/>
        </w:rPr>
        <w:t>Frontiers in Artificial Intelligence</w:t>
      </w:r>
      <w:r w:rsidRPr="00D64B17">
        <w:rPr>
          <w:rFonts w:ascii="Franklin Gothic Book" w:hAnsi="Franklin Gothic Book"/>
          <w:sz w:val="20"/>
          <w:szCs w:val="20"/>
        </w:rPr>
        <w:t xml:space="preserve">, </w:t>
      </w:r>
      <w:r w:rsidRPr="00D64B17">
        <w:rPr>
          <w:rFonts w:ascii="Franklin Gothic Book" w:hAnsi="Franklin Gothic Book"/>
          <w:i/>
          <w:sz w:val="20"/>
          <w:szCs w:val="20"/>
        </w:rPr>
        <w:t>4</w:t>
      </w:r>
      <w:r w:rsidRPr="00D64B17">
        <w:rPr>
          <w:rFonts w:ascii="Franklin Gothic Book" w:hAnsi="Franklin Gothic Book"/>
          <w:sz w:val="20"/>
          <w:szCs w:val="20"/>
        </w:rPr>
        <w:t xml:space="preserve">. https://doi.org/10.3389/frai.2021.717899 </w:t>
      </w:r>
    </w:p>
    <w:p w14:paraId="17D89290" w14:textId="77777777" w:rsidR="006B15A1" w:rsidRPr="00D64B17" w:rsidRDefault="00000000">
      <w:pPr>
        <w:spacing w:after="0" w:line="480" w:lineRule="auto"/>
        <w:ind w:left="720" w:hanging="720"/>
        <w:rPr>
          <w:rFonts w:ascii="Franklin Gothic Book" w:hAnsi="Franklin Gothic Book"/>
          <w:sz w:val="20"/>
          <w:szCs w:val="20"/>
        </w:rPr>
      </w:pPr>
      <w:r w:rsidRPr="00D64B17">
        <w:rPr>
          <w:rFonts w:ascii="Franklin Gothic Book" w:hAnsi="Franklin Gothic Book"/>
          <w:sz w:val="20"/>
          <w:szCs w:val="20"/>
        </w:rPr>
        <w:t xml:space="preserve">Vilone, G., &amp; Longo, L. (2021). Classification of explainable artificial intelligence methods through their output formats. </w:t>
      </w:r>
      <w:r w:rsidRPr="00D64B17">
        <w:rPr>
          <w:rFonts w:ascii="Franklin Gothic Book" w:hAnsi="Franklin Gothic Book"/>
          <w:i/>
          <w:sz w:val="20"/>
          <w:szCs w:val="20"/>
        </w:rPr>
        <w:t>Machine Learning and Knowledge Extraction</w:t>
      </w:r>
      <w:r w:rsidRPr="00D64B17">
        <w:rPr>
          <w:rFonts w:ascii="Franklin Gothic Book" w:hAnsi="Franklin Gothic Book"/>
          <w:sz w:val="20"/>
          <w:szCs w:val="20"/>
        </w:rPr>
        <w:t xml:space="preserve">, </w:t>
      </w:r>
      <w:r w:rsidRPr="00D64B17">
        <w:rPr>
          <w:rFonts w:ascii="Franklin Gothic Book" w:hAnsi="Franklin Gothic Book"/>
          <w:i/>
          <w:sz w:val="20"/>
          <w:szCs w:val="20"/>
        </w:rPr>
        <w:t>3</w:t>
      </w:r>
      <w:r w:rsidRPr="00D64B17">
        <w:rPr>
          <w:rFonts w:ascii="Franklin Gothic Book" w:hAnsi="Franklin Gothic Book"/>
          <w:sz w:val="20"/>
          <w:szCs w:val="20"/>
        </w:rPr>
        <w:t xml:space="preserve">(3), 615–661. https://doi.org/10.3390/make3030032 </w:t>
      </w:r>
    </w:p>
    <w:sectPr w:rsidR="006B15A1" w:rsidRPr="00D64B17" w:rsidSect="00EC58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8CD66B" w14:textId="77777777" w:rsidR="00502B27" w:rsidRDefault="00502B27" w:rsidP="00C703AC">
      <w:pPr>
        <w:spacing w:after="0" w:line="240" w:lineRule="auto"/>
      </w:pPr>
      <w:r>
        <w:separator/>
      </w:r>
    </w:p>
  </w:endnote>
  <w:endnote w:type="continuationSeparator" w:id="0">
    <w:p w14:paraId="4B99453D" w14:textId="77777777" w:rsidR="00502B27" w:rsidRDefault="00502B27" w:rsidP="00C70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enlo">
    <w:charset w:val="00"/>
    <w:family w:val="swiss"/>
    <w:pitch w:val="fixed"/>
    <w:sig w:usb0="E60022FF" w:usb1="D200F9FB" w:usb2="02000028" w:usb3="00000000" w:csb0="000001D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5E7B19" w14:textId="77777777" w:rsidR="00502B27" w:rsidRDefault="00502B27" w:rsidP="00C703AC">
      <w:pPr>
        <w:spacing w:after="0" w:line="240" w:lineRule="auto"/>
      </w:pPr>
      <w:r>
        <w:separator/>
      </w:r>
    </w:p>
  </w:footnote>
  <w:footnote w:type="continuationSeparator" w:id="0">
    <w:p w14:paraId="764C96DB" w14:textId="77777777" w:rsidR="00502B27" w:rsidRDefault="00502B27" w:rsidP="00C703A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68DC"/>
    <w:rsid w:val="00046F44"/>
    <w:rsid w:val="0009295A"/>
    <w:rsid w:val="00132876"/>
    <w:rsid w:val="00166C0F"/>
    <w:rsid w:val="001845E1"/>
    <w:rsid w:val="00196D01"/>
    <w:rsid w:val="001A6335"/>
    <w:rsid w:val="001C182B"/>
    <w:rsid w:val="001D7845"/>
    <w:rsid w:val="00215EFA"/>
    <w:rsid w:val="0022454E"/>
    <w:rsid w:val="00230005"/>
    <w:rsid w:val="00277864"/>
    <w:rsid w:val="002810F1"/>
    <w:rsid w:val="0028666D"/>
    <w:rsid w:val="002B39F0"/>
    <w:rsid w:val="00363758"/>
    <w:rsid w:val="00380689"/>
    <w:rsid w:val="004254C1"/>
    <w:rsid w:val="00425568"/>
    <w:rsid w:val="004D7CED"/>
    <w:rsid w:val="00502B27"/>
    <w:rsid w:val="00560409"/>
    <w:rsid w:val="0059122C"/>
    <w:rsid w:val="00591EE1"/>
    <w:rsid w:val="005C4E6E"/>
    <w:rsid w:val="0061198C"/>
    <w:rsid w:val="006437CE"/>
    <w:rsid w:val="00645D71"/>
    <w:rsid w:val="00650E13"/>
    <w:rsid w:val="0066672F"/>
    <w:rsid w:val="00677111"/>
    <w:rsid w:val="006B15A1"/>
    <w:rsid w:val="006C4B18"/>
    <w:rsid w:val="006F327F"/>
    <w:rsid w:val="00724D19"/>
    <w:rsid w:val="007729B7"/>
    <w:rsid w:val="008043D2"/>
    <w:rsid w:val="00825C02"/>
    <w:rsid w:val="008B4316"/>
    <w:rsid w:val="008F004A"/>
    <w:rsid w:val="00950249"/>
    <w:rsid w:val="00994F5E"/>
    <w:rsid w:val="009B2FC0"/>
    <w:rsid w:val="00AE2309"/>
    <w:rsid w:val="00B038AF"/>
    <w:rsid w:val="00B3247C"/>
    <w:rsid w:val="00B429D7"/>
    <w:rsid w:val="00BA3405"/>
    <w:rsid w:val="00C3385F"/>
    <w:rsid w:val="00C50664"/>
    <w:rsid w:val="00C62D35"/>
    <w:rsid w:val="00C703AC"/>
    <w:rsid w:val="00C727AF"/>
    <w:rsid w:val="00C74D24"/>
    <w:rsid w:val="00CD7014"/>
    <w:rsid w:val="00CF5BF1"/>
    <w:rsid w:val="00D3381C"/>
    <w:rsid w:val="00D64B17"/>
    <w:rsid w:val="00E06ACC"/>
    <w:rsid w:val="00E87384"/>
    <w:rsid w:val="00E90F6B"/>
    <w:rsid w:val="00EA3EEA"/>
    <w:rsid w:val="00EA68DC"/>
    <w:rsid w:val="00EA7172"/>
    <w:rsid w:val="00EC58FC"/>
    <w:rsid w:val="00EC60B3"/>
    <w:rsid w:val="00F21E2D"/>
    <w:rsid w:val="00F27344"/>
    <w:rsid w:val="00F72E56"/>
    <w:rsid w:val="00F80265"/>
    <w:rsid w:val="00F82640"/>
    <w:rsid w:val="00FF3DFA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5FB50B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21"/>
    <w:lsdException w:name="Light List" w:uiPriority="22"/>
    <w:lsdException w:name="Light Grid" w:uiPriority="23"/>
    <w:lsdException w:name="Medium Shading 1" w:uiPriority="24"/>
    <w:lsdException w:name="Medium Shading 2" w:uiPriority="25"/>
    <w:lsdException w:name="Medium List 1" w:uiPriority="26"/>
    <w:lsdException w:name="Medium List 2" w:uiPriority="27"/>
    <w:lsdException w:name="Medium Grid 1" w:uiPriority="28"/>
    <w:lsdException w:name="Medium Grid 2" w:uiPriority="29"/>
    <w:lsdException w:name="Medium Grid 3" w:uiPriority="30"/>
    <w:lsdException w:name="Dark List" w:uiPriority="31"/>
    <w:lsdException w:name="Colorful Shading" w:uiPriority="32"/>
    <w:lsdException w:name="Colorful List" w:uiPriority="33"/>
    <w:lsdException w:name="Colorful Grid" w:uiPriority="34"/>
    <w:lsdException w:name="Light Shading Accent 1" w:uiPriority="35"/>
    <w:lsdException w:name="Light List Accent 1" w:uiPriority="36"/>
    <w:lsdException w:name="Light Grid Accent 1" w:uiPriority="37"/>
    <w:lsdException w:name="Medium Shading 1 Accent 1" w:uiPriority="38"/>
    <w:lsdException w:name="Medium Shading 2 Accent 1" w:uiPriority="39"/>
    <w:lsdException w:name="Medium List 1 Accent 1" w:uiPriority="40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A6335"/>
    <w:pPr>
      <w:spacing w:after="200" w:line="276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03AC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03AC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6375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E2D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A71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A7172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858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5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542</Words>
  <Characters>3092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2018-12-05T18:01:00Z</dcterms:created>
  <dcterms:modified xsi:type="dcterms:W3CDTF">2022-11-04T20:10:00Z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2022-11-04T20:10:03Z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4bfc8473-b4f8-4a68-83c6-6b4fc5438261</vt:lpwstr>
  </property>
  <property fmtid="{D5CDD505-2E9C-101B-9397-08002B2CF9AE}" pid="7" name="MSIP_Label_defa4170-0d19-0005-0004-bc88714345d2_ActionId">
    <vt:lpwstr>e7ad9dae-38c5-40a7-b73f-5999a065be8d</vt:lpwstr>
  </property>
  <property fmtid="{D5CDD505-2E9C-101B-9397-08002B2CF9AE}" pid="8" name="MSIP_Label_defa4170-0d19-0005-0004-bc88714345d2_ContentBits">
    <vt:lpwstr>0</vt:lpwstr>
  </property>
</Properties>
</file>