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feb0ae0aa46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IEEE Access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2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2020 IEEE International Conference On Systems, Man, And Cybernetics (SMC)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Financial Cost of Fraud 2019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Deep Learning Methods for Credit Card Fraud Detection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Computer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54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Global Transitions Proceedings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Review On Credit Card Fraud Detection And Classification By Machine Learning And Data Mining Approaches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ı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ğ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Ş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ADCAIJ: Advances In Distributed Computing And Artificial Intelligence Journal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10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6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Credit card statistics 2022: 65+ facts for Europe, UK, and US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8b81b2a4f74e24" /><Relationship Type="http://schemas.openxmlformats.org/officeDocument/2006/relationships/numbering" Target="/word/numbering.xml" Id="R6823e0d21e3e472a" /><Relationship Type="http://schemas.openxmlformats.org/officeDocument/2006/relationships/settings" Target="/word/settings.xml" Id="R14d58747baaa4db4" /></Relationships>
</file>