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77777777"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the problem you aim to tackle informally. Also define the assumptions, limitations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77777777"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is and which are the salient properties that must be considered to make it understandable for every end-user.” (p.651) Therefore, there is no </w:t>
      </w:r>
      <w:proofErr w:type="spellStart"/>
      <w:r>
        <w:t>well established</w:t>
      </w:r>
      <w:proofErr w:type="spell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w:t>
      </w:r>
      <w:r w:rsidR="00BB6273">
        <w:t>in parallel with the creation of a ‘glass-box’ EBM model</w:t>
      </w:r>
      <w:r w:rsidR="00BB6273">
        <w:t xml:space="preserve">,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2D992E94" w14:textId="77777777" w:rsidR="008A1D58" w:rsidRDefault="008A1D58" w:rsidP="008A1D58">
      <w:r>
        <w:t>Title:</w:t>
      </w:r>
    </w:p>
    <w:p w14:paraId="689CB044" w14:textId="77777777" w:rsidR="008A1D58" w:rsidRDefault="008A1D58" w:rsidP="008A1D58">
      <w:r>
        <w:t>Explaining Credit Card Fraud Decisions in ML: An Analysis of XAI Methods</w:t>
      </w:r>
    </w:p>
    <w:p w14:paraId="5E230C00" w14:textId="77777777" w:rsidR="00DC2189" w:rsidRDefault="00DC2189" w:rsidP="008A1D58">
      <w:pPr>
        <w:spacing w:before="100" w:beforeAutospacing="1" w:after="100" w:afterAutospacing="1" w:line="240" w:lineRule="auto"/>
      </w:pPr>
      <w:r>
        <w:t>Research Methods:</w:t>
      </w:r>
    </w:p>
    <w:p w14:paraId="01903A0A" w14:textId="77777777" w:rsidR="00DC2189" w:rsidRDefault="00DC2189" w:rsidP="008A1D58">
      <w:pPr>
        <w:spacing w:before="100" w:beforeAutospacing="1" w:after="100" w:afterAutospacing="1" w:line="240" w:lineRule="auto"/>
      </w:pPr>
      <w:r>
        <w:t xml:space="preserve"> This will be a primary research approach, based on insights from a review of certain literature in the field of XAI research. </w:t>
      </w:r>
    </w:p>
    <w:p w14:paraId="150F438A" w14:textId="77777777" w:rsidR="00DC2189" w:rsidRDefault="00DC2189" w:rsidP="008A1D58">
      <w:pPr>
        <w:spacing w:before="100" w:beforeAutospacing="1" w:after="100" w:afterAutospacing="1" w:line="240" w:lineRule="auto"/>
      </w:pPr>
      <w:r>
        <w:t xml:space="preserve">The objective is to conduct a sequence of lab experiments to measure the empirical performance of different interpretability frameworks on a NN model built for credit card fraud detection. </w:t>
      </w:r>
    </w:p>
    <w:p w14:paraId="059EB791" w14:textId="77777777" w:rsidR="00DC2189" w:rsidRDefault="00DC2189" w:rsidP="008A1D58">
      <w:pPr>
        <w:spacing w:before="100" w:beforeAutospacing="1" w:after="100" w:afterAutospacing="1" w:line="240" w:lineRule="auto"/>
      </w:pPr>
      <w:r>
        <w:t xml:space="preserve">The form of the research is to gather knowledge from the numerical results of the experiments, and determine if the frameworks can be clearly ranked in terms of overall performance by the applied metrics. </w:t>
      </w:r>
    </w:p>
    <w:p w14:paraId="34F4D7A8" w14:textId="77777777" w:rsidR="008A1D58" w:rsidRDefault="00DC2189" w:rsidP="008A1D58">
      <w:pPr>
        <w:spacing w:before="100" w:beforeAutospacing="1" w:after="100" w:afterAutospacing="1" w:line="240" w:lineRule="auto"/>
      </w:pPr>
      <w:r>
        <w:t>This will be a deductive approach to test the assumption that one particular interpretability frameworks can be shown, through the numerical outputs of each experiment, to generate the best local explanations for a credit card fraud classification result.</w:t>
      </w:r>
    </w:p>
    <w:p w14:paraId="30021D0A" w14:textId="77777777" w:rsidR="00DC2189" w:rsidRDefault="00DC2189" w:rsidP="008A1D58">
      <w:pPr>
        <w:spacing w:before="100" w:beforeAutospacing="1" w:after="100" w:afterAutospacing="1" w:line="240" w:lineRule="auto"/>
      </w:pPr>
    </w:p>
    <w:p w14:paraId="5C20D206" w14:textId="77777777" w:rsidR="00DC2189" w:rsidRDefault="00DC2189" w:rsidP="008A1D58">
      <w:pPr>
        <w:spacing w:before="100" w:beforeAutospacing="1" w:after="100" w:afterAutospacing="1" w:line="240" w:lineRule="auto"/>
      </w:pPr>
    </w:p>
    <w:p w14:paraId="72261A03" w14:textId="77777777" w:rsidR="00DC2189" w:rsidRDefault="00DC2189" w:rsidP="008A1D58">
      <w:pPr>
        <w:spacing w:before="100" w:beforeAutospacing="1" w:after="100" w:afterAutospacing="1" w:line="240" w:lineRule="auto"/>
      </w:pPr>
      <w:r>
        <w:t xml:space="preserve">Research Aim: </w:t>
      </w:r>
    </w:p>
    <w:p w14:paraId="3AC0E7EA" w14:textId="77777777" w:rsidR="00DC2189" w:rsidRDefault="00DC2189" w:rsidP="008A1D58">
      <w:pPr>
        <w:spacing w:before="100" w:beforeAutospacing="1" w:after="100" w:afterAutospacing="1" w:line="240" w:lineRule="auto"/>
      </w:pPr>
      <w:r>
        <w:t xml:space="preserve">• To rank selected interpretability frameworks (LIME, SHAP, LORE, Anchors, and InterpretML), using predefined metrics, against the output from a NN credit card fraud detection model and determine which one, if any, demonstrates the best overall performance. </w:t>
      </w:r>
    </w:p>
    <w:p w14:paraId="158DDB8B" w14:textId="77777777" w:rsidR="00DC2189" w:rsidRDefault="00DC2189" w:rsidP="008A1D58">
      <w:pPr>
        <w:spacing w:before="100" w:beforeAutospacing="1" w:after="100" w:afterAutospacing="1" w:line="240" w:lineRule="auto"/>
      </w:pPr>
    </w:p>
    <w:p w14:paraId="7E2C2DAC" w14:textId="77777777" w:rsidR="00DC2189" w:rsidRDefault="00DC2189" w:rsidP="008A1D58">
      <w:pPr>
        <w:spacing w:before="100" w:beforeAutospacing="1" w:after="100" w:afterAutospacing="1" w:line="240" w:lineRule="auto"/>
      </w:pPr>
      <w:r>
        <w:t xml:space="preserve">General / Specific Research Objectives </w:t>
      </w:r>
    </w:p>
    <w:p w14:paraId="7FE118F1" w14:textId="77777777" w:rsidR="00DC2189" w:rsidRDefault="00DC2189" w:rsidP="008A1D58">
      <w:pPr>
        <w:spacing w:before="100" w:beforeAutospacing="1" w:after="100" w:afterAutospacing="1" w:line="240" w:lineRule="auto"/>
      </w:pPr>
      <w:r>
        <w:t xml:space="preserve">• O1: Pre-process credit card fraud dataset to improve interpretability measurement. (Internal company dataset has already been provided). </w:t>
      </w:r>
    </w:p>
    <w:p w14:paraId="7986C052" w14:textId="77777777" w:rsidR="00DC2189" w:rsidRDefault="00DC2189" w:rsidP="008A1D58">
      <w:pPr>
        <w:spacing w:before="100" w:beforeAutospacing="1" w:after="100" w:afterAutospacing="1" w:line="240" w:lineRule="auto"/>
      </w:pPr>
      <w:r>
        <w:t xml:space="preserve">o 15% of records in dissertation dataset are labelled ‘fraud’. Produce a 50/50 balanced training and test dataset by removing appropriate number of ‘nonfraud’ records. </w:t>
      </w:r>
    </w:p>
    <w:p w14:paraId="418D03D9" w14:textId="77777777" w:rsidR="00DC2189" w:rsidRDefault="00DC2189" w:rsidP="008A1D58">
      <w:pPr>
        <w:spacing w:before="100" w:beforeAutospacing="1" w:after="100" w:afterAutospacing="1" w:line="240" w:lineRule="auto"/>
      </w:pPr>
      <w:r>
        <w:t xml:space="preserve">o Reduce dimensionality of data (Ribeiro et al., 2016). Remove highly correlated features and limit to top 20 features based on a feature importance ranking by an RF algorithm. Generate a new dataset for experimentation. </w:t>
      </w:r>
    </w:p>
    <w:p w14:paraId="59D971A0" w14:textId="77777777" w:rsidR="00DC2189" w:rsidRDefault="00DC2189" w:rsidP="008A1D58">
      <w:pPr>
        <w:spacing w:before="100" w:beforeAutospacing="1" w:after="100" w:afterAutospacing="1" w:line="240" w:lineRule="auto"/>
      </w:pPr>
      <w:r>
        <w:t xml:space="preserve">• O2: Train and test NN model for credit card fraud detection. </w:t>
      </w:r>
    </w:p>
    <w:p w14:paraId="05E8E025" w14:textId="77777777" w:rsidR="00DC2189" w:rsidRDefault="00DC2189" w:rsidP="008A1D58">
      <w:pPr>
        <w:spacing w:before="100" w:beforeAutospacing="1" w:after="100" w:afterAutospacing="1" w:line="240" w:lineRule="auto"/>
      </w:pPr>
      <w:r>
        <w:t xml:space="preserve">o Partition data set into 80% training / 20% testing. </w:t>
      </w:r>
    </w:p>
    <w:p w14:paraId="51EB96D3" w14:textId="77777777" w:rsidR="00DC2189" w:rsidRDefault="00DC2189" w:rsidP="008A1D58">
      <w:pPr>
        <w:spacing w:before="100" w:beforeAutospacing="1" w:after="100" w:afterAutospacing="1" w:line="240" w:lineRule="auto"/>
      </w:pPr>
      <w:r>
        <w:t xml:space="preserve">o Use ANN algorithm to generate model on training data. Validate F1 and Recall scores produced by model against the test data. Refine model parameters if necessary to achieve expected model performance criteria (slide 8), </w:t>
      </w:r>
    </w:p>
    <w:p w14:paraId="5605FD02" w14:textId="77777777" w:rsidR="00DC2189" w:rsidRDefault="00DC2189" w:rsidP="008A1D58">
      <w:pPr>
        <w:spacing w:before="100" w:beforeAutospacing="1" w:after="100" w:afterAutospacing="1" w:line="240" w:lineRule="auto"/>
      </w:pPr>
      <w:r>
        <w:t xml:space="preserve">• O3: Produce explanations for model predictions with each framework. </w:t>
      </w:r>
    </w:p>
    <w:p w14:paraId="3EC82632" w14:textId="77777777" w:rsidR="00DC2189" w:rsidRDefault="00DC2189" w:rsidP="008A1D58">
      <w:pPr>
        <w:spacing w:before="100" w:beforeAutospacing="1" w:after="100" w:afterAutospacing="1" w:line="240" w:lineRule="auto"/>
      </w:pPr>
      <w:r>
        <w:t xml:space="preserve">o In separate experiments, use LIME, SHAP, LORE, Anchors, and InterpretML to generate explanations for model predictions for each instance in the test data. </w:t>
      </w:r>
    </w:p>
    <w:p w14:paraId="1F6E184B" w14:textId="77777777" w:rsidR="00DC2189" w:rsidRDefault="00DC2189" w:rsidP="008A1D58">
      <w:pPr>
        <w:spacing w:before="100" w:beforeAutospacing="1" w:after="100" w:afterAutospacing="1" w:line="240" w:lineRule="auto"/>
      </w:pPr>
      <w:r>
        <w:t xml:space="preserve">• O4: Differentiate the performance of each interpretability framework. (ElShawi et al., 2020) </w:t>
      </w:r>
    </w:p>
    <w:p w14:paraId="5DA6BDB3" w14:textId="33AEF2C3" w:rsidR="00DC2189" w:rsidRDefault="00DC2189" w:rsidP="008A1D58">
      <w:pPr>
        <w:spacing w:before="100" w:beforeAutospacing="1" w:after="100" w:afterAutospacing="1" w:line="240" w:lineRule="auto"/>
      </w:pPr>
      <w:r>
        <w:t xml:space="preserve">o Use pre-defined metrics (slide 8) to grade each framework. Determine if one framework demonstrates a clear numerical superiority across all metrics. </w:t>
      </w:r>
    </w:p>
    <w:p w14:paraId="60C86EAA" w14:textId="77777777" w:rsidR="00DC2189" w:rsidRDefault="00DC2189" w:rsidP="008A1D58">
      <w:pPr>
        <w:spacing w:before="100" w:beforeAutospacing="1" w:after="100" w:afterAutospacing="1" w:line="240" w:lineRule="auto"/>
      </w:pPr>
      <w:r>
        <w:t xml:space="preserve">• O5: Summarise learnings from experiments to compare interpretability frameworks. </w:t>
      </w:r>
    </w:p>
    <w:p w14:paraId="044A6C84" w14:textId="77777777" w:rsidR="00DC2189"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r>
        <w:t>o Explain rationale for conclusions to research. Propose areas of further study.</w:t>
      </w:r>
    </w:p>
    <w:p w14:paraId="3631C7FD" w14:textId="6E553B22" w:rsidR="008A1D58" w:rsidRDefault="008A1D58"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56CA751F" w14:textId="2FFC042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7237F021" w14:textId="67042962"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5B47722" w14:textId="174B27B9"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393FABEA" w14:textId="02D2C234" w:rsidR="00DD446F" w:rsidRDefault="00DD446F" w:rsidP="008A1D58">
      <w:pPr>
        <w:spacing w:before="100" w:beforeAutospacing="1" w:after="100" w:afterAutospacing="1" w:line="240" w:lineRule="auto"/>
      </w:pPr>
      <w:r>
        <w:t xml:space="preserve">The study will be carried out in three parts. A very large case base is required so that results can be collected for many different sized case bases. A paper investigating CRNs found performance issues for case bases of 40,000 cases, a data set of at least 1 million will be used so that the case-base size can be gradually increased to show how the performance degrades. The content of the case base is not that important, the only requirement is that it is large enough. The first stage will use the k-Nearest Neighbour classifier on the case base to show the existence of the utility problem. The next stage will apply the CRN method to the same case base to show some improvement on the linear approach but will still exhibit the utility problem for larger case-bases. The final stage will apply the big data method to the case base. The big data platform that will be used will be Hadoop, and it will use the programming model MapReduce to execute the CBR retrieval step. The first step will use a very small sample of the dataset, one which will not suffer from the utility problem. The size of the case base will be increased for each new retrieval step and the performance measured as the time taken to retrieve the cases from the case base. The utility problem will occur as the case base gets larger and performance will deteriorate. The time taken to retrieve cases from the case base will be recorded to measure performance and the degradation in performance can be described with a graph which shows time taken on the x-axis and number of cases on the y-axis. CRNs will be used on the same sample sizes with the same query so that the performance can be measured on retrieval time. There will be an improvement in performance, as has been shown in previous literature, but as the dataset becomes very large the utility problem will still occur. The data will be plotted on the same graph as the </w:t>
      </w:r>
      <w:proofErr w:type="spellStart"/>
      <w:r>
        <w:t>kNN</w:t>
      </w:r>
      <w:proofErr w:type="spellEnd"/>
      <w:r>
        <w:t xml:space="preserve"> results to show the difference in speeds between the two methods. MapReduce is a programming model which can process large datasets. A map function is specified which processes key/value pairs to generate a set of intermediate key/value pairs and so would be an ideal solution for a case-based reasoning problem. Hadoop MapReduce can process very large amounts of data in parallel on large clusters. The same query will be carried out using this method on the same sample sizes and the time take to retrieve the cases recorded. The performance of the three methods can then be compared by plotting the results of this stage of the experiment alongside the previous two graphs. The UCI repository of machine learning has several data sets that are larger than 1 million which would be suitable for the proposed evaluation. One such data set is the Knowledge Discovery and Data Mining Tools Competition Data for 1999. This dataset contains simulated intrusions in a military network environment and the problem to solve would be whether a new connection would be considered “good” or “bad” based on the cases in the database. The data set has 4 million entries, which will be sufficient for the problem proposed.</w:t>
      </w:r>
    </w:p>
    <w:p w14:paraId="6A70FC69" w14:textId="0B9038D8" w:rsidR="00DD446F" w:rsidRDefault="00DD446F" w:rsidP="008A1D58">
      <w:pPr>
        <w:spacing w:before="100" w:beforeAutospacing="1" w:after="100" w:afterAutospacing="1" w:line="240" w:lineRule="auto"/>
      </w:pPr>
    </w:p>
    <w:p w14:paraId="36E161C7" w14:textId="7F70E8AE" w:rsidR="00DD446F" w:rsidRDefault="00DD446F" w:rsidP="008A1D58">
      <w:pPr>
        <w:spacing w:before="100" w:beforeAutospacing="1" w:after="100" w:afterAutospacing="1" w:line="240" w:lineRule="auto"/>
      </w:pPr>
    </w:p>
    <w:p w14:paraId="299B4FCD" w14:textId="73E35A24"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w:t>
      </w:r>
      <w:r>
        <w:t xml:space="preserve">o rank </w:t>
      </w:r>
      <w:r>
        <w:t xml:space="preserve">four </w:t>
      </w:r>
      <w:r>
        <w:t xml:space="preserve">selected interpretability frameworks (LIME, SHAP, Anchors, and InterpretML), using predefined </w:t>
      </w:r>
      <w:r>
        <w:t xml:space="preserve">similarity </w:t>
      </w:r>
      <w:r>
        <w:t xml:space="preserve">metrics, against the output from NN </w:t>
      </w:r>
      <w:r w:rsidR="00324EA9">
        <w:t xml:space="preserve">and EBM </w:t>
      </w:r>
      <w:r>
        <w:t>credit card fraud detection model</w:t>
      </w:r>
      <w:r w:rsidR="00324EA9">
        <w:t>s</w:t>
      </w:r>
      <w:r>
        <w:t xml:space="preserve"> and determine which one, if any, demonstrates the best overall performance.</w:t>
      </w:r>
    </w:p>
    <w:p w14:paraId="5515DDDE" w14:textId="3F774061" w:rsidR="00DD446F" w:rsidRDefault="001E76FD" w:rsidP="008A1D58">
      <w:pPr>
        <w:spacing w:before="100" w:beforeAutospacing="1" w:after="100" w:afterAutospacing="1" w:line="240" w:lineRule="auto"/>
      </w:pPr>
      <w:r>
        <w:t xml:space="preserve">The study will execute five primary research steps to build up a table of metrics for each explainer </w:t>
      </w:r>
      <w:r w:rsidR="00324EA9">
        <w:t>method and</w:t>
      </w:r>
      <w:r>
        <w:t xml:space="preserve"> allow </w:t>
      </w:r>
      <w:r w:rsidR="00324EA9">
        <w:t xml:space="preserve">a statistical comparative analysis of the performance by each explainer technique. The research focus is on explanations for fraud classification of individual transaction records – hence these experiments only consider </w:t>
      </w:r>
      <w:r w:rsidR="00324EA9" w:rsidRPr="00324EA9">
        <w:rPr>
          <w:i/>
          <w:iCs/>
        </w:rPr>
        <w:t>local</w:t>
      </w:r>
      <w:r w:rsidR="00324EA9">
        <w:rPr>
          <w:i/>
          <w:iCs/>
        </w:rPr>
        <w:t>, post-hoc</w:t>
      </w:r>
      <w:r w:rsidR="00324EA9">
        <w:t xml:space="preserve"> results. A </w:t>
      </w:r>
      <w:r w:rsidR="00324EA9" w:rsidRPr="00324EA9">
        <w:rPr>
          <w:i/>
          <w:iCs/>
        </w:rPr>
        <w:t>global</w:t>
      </w:r>
      <w:r w:rsidR="00324EA9">
        <w:t xml:space="preserve"> analysis of how the model classifies fraud is not in scope.</w:t>
      </w:r>
    </w:p>
    <w:p w14:paraId="5CED942A" w14:textId="1CB57FCD" w:rsidR="00556FE9" w:rsidRDefault="00AE093E" w:rsidP="008A1D58">
      <w:pPr>
        <w:spacing w:before="100" w:beforeAutospacing="1" w:after="100" w:afterAutospacing="1" w:line="240" w:lineRule="auto"/>
      </w:pPr>
      <w:r>
        <w:t>The dataset for this study has been sourced from my employer, SymphonyAI, but relates to a Product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r w:rsidR="001E1506">
        <w:t xml:space="preserve">Much of this data has a very tenuous impact on the fraud classification process, and dimensionality reduction and feature engineering will be key initial steps in the design of the </w:t>
      </w:r>
      <w:r w:rsidR="00541C20">
        <w:t xml:space="preserve">initial </w:t>
      </w:r>
      <w:r w:rsidR="001E1506">
        <w:t>experiment</w:t>
      </w:r>
      <w:r w:rsidR="00541C20">
        <w:t xml:space="preserve"> </w:t>
      </w:r>
      <w:r w:rsidR="001E1506">
        <w:t>s</w:t>
      </w:r>
      <w:r w:rsidR="00541C20">
        <w:t>teps</w:t>
      </w:r>
      <w:r w:rsidR="001E1506">
        <w:t xml:space="preserve"> in this paper.</w:t>
      </w:r>
    </w:p>
    <w:p w14:paraId="6EC0D09A" w14:textId="1E0A3EBD" w:rsidR="001E1506" w:rsidRDefault="001E1506" w:rsidP="008A1D58">
      <w:pPr>
        <w:spacing w:before="100" w:beforeAutospacing="1" w:after="100" w:afterAutospacing="1" w:line="240" w:lineRule="auto"/>
      </w:pPr>
      <w:r>
        <w:t>However, 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6D5A3E9F" w:rsidR="001E1506" w:rsidRDefault="001E1506" w:rsidP="008A1D58">
      <w:pPr>
        <w:spacing w:before="100" w:beforeAutospacing="1" w:after="100" w:afterAutospacing="1" w:line="240" w:lineRule="auto"/>
      </w:pPr>
      <w:r>
        <w:t>For the creation of the credit card fraud detection model 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my detail in Section 8 of this submission document);</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r>
        <w:t>.</w:t>
      </w:r>
    </w:p>
    <w:p w14:paraId="4044602A" w14:textId="09336C20" w:rsidR="001E1506" w:rsidRDefault="001E1506" w:rsidP="001E1506">
      <w:pPr>
        <w:spacing w:before="100" w:beforeAutospacing="1" w:after="100" w:afterAutospacing="1" w:line="240" w:lineRule="auto"/>
      </w:pPr>
      <w:r>
        <w:t>4. Similarity</w:t>
      </w:r>
      <w:r>
        <w:t>.</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266AB9D6"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for this type of work.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32EC1177" w:rsidR="0021315E" w:rsidRDefault="0021315E" w:rsidP="008A1D58">
      <w:pPr>
        <w:spacing w:before="100" w:beforeAutospacing="1" w:after="100" w:afterAutospacing="1" w:line="240" w:lineRule="auto"/>
      </w:pPr>
      <w:r>
        <w:t xml:space="preserve">As described above, </w:t>
      </w:r>
      <w:r w:rsidR="002D2931">
        <w:t>the initial experiment steps will be to re-engineer the data prior to model creation. The fraudulent records comprise 15% of</w:t>
      </w:r>
      <w:r>
        <w:t xml:space="preserve"> </w:t>
      </w:r>
      <w:r w:rsidR="002D2931">
        <w:t>the entire data, and while this is considerably more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dimensionality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3139BCDE" w:rsidR="00D84528" w:rsidRDefault="00B532D1" w:rsidP="00D84528">
      <w:pPr>
        <w:spacing w:before="100" w:beforeAutospacing="1" w:after="100" w:afterAutospacing="1" w:line="240" w:lineRule="auto"/>
      </w:pPr>
      <w:r>
        <w:t xml:space="preserve">The first model building exercise will be written in Python and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xml:space="preserve">, respectively, to </w:t>
      </w:r>
      <w:r w:rsidR="00D84528">
        <w:t>this new</w:t>
      </w:r>
      <w:r w:rsidR="00D84528">
        <w:t xml:space="preserve"> NN model. This will ensure that a performant NN model has been created prior to the measurements of the results from the experiments on the separate interpretability frameworks.</w:t>
      </w:r>
    </w:p>
    <w:p w14:paraId="745FEC3A" w14:textId="34C5D693" w:rsidR="002D2931" w:rsidRDefault="00D84528" w:rsidP="008A1D58">
      <w:pPr>
        <w:spacing w:before="100" w:beforeAutospacing="1" w:after="100" w:afterAutospacing="1" w:line="240" w:lineRule="auto"/>
      </w:pPr>
      <w:r>
        <w:t>The second model exercise begins with another SageMaker notebook importing the Microsoft InterpretML ‘</w:t>
      </w:r>
      <w:proofErr w:type="spellStart"/>
      <w:r>
        <w:t>interpret.glassbox</w:t>
      </w:r>
      <w:proofErr w:type="spellEnd"/>
      <w:r>
        <w:t>’ libraries and building a fraud classifier with the Explainable Boosting Machine (EBM) algorithms.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7D515B1B" w14:textId="6D64F758" w:rsidR="00A574B2" w:rsidRDefault="00A574B2" w:rsidP="008A1D58">
      <w:pPr>
        <w:spacing w:before="100" w:beforeAutospacing="1" w:after="100" w:afterAutospacing="1" w:line="240" w:lineRule="auto"/>
      </w:pPr>
      <w:r>
        <w:t xml:space="preserve">A table of metric scores for each explainability technique </w:t>
      </w:r>
      <w:r w:rsidR="00685AD3">
        <w:t xml:space="preserve">will be compiled for each </w:t>
      </w:r>
      <w:r w:rsidR="002F3A0C">
        <w:t>batch of predictions.</w:t>
      </w:r>
      <w:r w:rsidR="00983817">
        <w:t xml:space="preserve"> This approach follows some of the concepts in measuring similarity performance for explainability techniques as elaborated by ElShawi et al (2020). A significance test will be run on the tabular data to determine if certain approaches are better at explaining credit card fraud. The statistical analysis will </w:t>
      </w:r>
    </w:p>
    <w:p w14:paraId="613485ED" w14:textId="77777777" w:rsidR="00A574B2" w:rsidRDefault="00A574B2" w:rsidP="008A1D58">
      <w:pPr>
        <w:spacing w:before="100" w:beforeAutospacing="1" w:after="100" w:afterAutospacing="1" w:line="240" w:lineRule="auto"/>
      </w:pPr>
    </w:p>
    <w:p w14:paraId="47D46020" w14:textId="77777777" w:rsidR="00A574B2" w:rsidRDefault="00A574B2" w:rsidP="008A1D58">
      <w:pPr>
        <w:spacing w:before="100" w:beforeAutospacing="1" w:after="100" w:afterAutospacing="1" w:line="240" w:lineRule="auto"/>
      </w:pPr>
    </w:p>
    <w:p w14:paraId="2C1654A3" w14:textId="77777777" w:rsidR="0021315E" w:rsidRDefault="0021315E" w:rsidP="0021315E">
      <w:pPr>
        <w:spacing w:before="100" w:beforeAutospacing="1" w:after="100" w:afterAutospacing="1" w:line="240" w:lineRule="auto"/>
      </w:pPr>
      <w:r>
        <w:t xml:space="preserve">• O4: Differentiate the performance of each interpretability framework. (ElShawi et al., 2020) </w:t>
      </w:r>
    </w:p>
    <w:p w14:paraId="6FB9B3E6" w14:textId="77777777" w:rsidR="0021315E" w:rsidRDefault="0021315E" w:rsidP="0021315E">
      <w:pPr>
        <w:spacing w:before="100" w:beforeAutospacing="1" w:after="100" w:afterAutospacing="1" w:line="240" w:lineRule="auto"/>
      </w:pPr>
      <w:r>
        <w:t xml:space="preserve">o Use pre-defined metrics (slide 8) to grade each framework. Determine if one framework demonstrates a clear numerical superiority across all metrics. </w:t>
      </w:r>
    </w:p>
    <w:p w14:paraId="423771B8" w14:textId="77777777" w:rsidR="0021315E" w:rsidRDefault="0021315E" w:rsidP="0021315E">
      <w:pPr>
        <w:spacing w:before="100" w:beforeAutospacing="1" w:after="100" w:afterAutospacing="1" w:line="240" w:lineRule="auto"/>
      </w:pPr>
      <w:r>
        <w:t xml:space="preserve">• O5: Summarise learnings from experiments to compare interpretability frameworks. </w:t>
      </w:r>
    </w:p>
    <w:p w14:paraId="641280B9" w14:textId="77777777" w:rsidR="0021315E" w:rsidRDefault="0021315E" w:rsidP="0021315E">
      <w:pPr>
        <w:spacing w:before="100" w:beforeAutospacing="1" w:after="100" w:afterAutospacing="1" w:line="240" w:lineRule="auto"/>
        <w:rPr>
          <w:rFonts w:ascii="Helvetica" w:eastAsia="Times New Roman" w:hAnsi="Helvetica" w:cs="Helvetica"/>
          <w:color w:val="3C763D"/>
          <w:sz w:val="21"/>
          <w:szCs w:val="21"/>
          <w:lang w:eastAsia="en-GB"/>
        </w:rPr>
      </w:pPr>
      <w:r>
        <w:t>o Explain rationale for conclusions to research. Propose areas of further study.</w:t>
      </w:r>
    </w:p>
    <w:p w14:paraId="7CC5DBEC" w14:textId="4D92F9F9" w:rsidR="0021315E" w:rsidRDefault="0021315E" w:rsidP="008A1D58">
      <w:pPr>
        <w:spacing w:before="100" w:beforeAutospacing="1" w:after="100" w:afterAutospacing="1" w:line="240" w:lineRule="auto"/>
      </w:pPr>
    </w:p>
    <w:p w14:paraId="1A8CAE6F" w14:textId="77777777" w:rsidR="0021315E" w:rsidRDefault="0021315E" w:rsidP="008A1D58">
      <w:pPr>
        <w:spacing w:before="100" w:beforeAutospacing="1" w:after="100" w:afterAutospacing="1" w:line="240" w:lineRule="auto"/>
      </w:pPr>
    </w:p>
    <w:p w14:paraId="5ED2ED75" w14:textId="4BFC9DFC" w:rsidR="00784110" w:rsidRDefault="00784110" w:rsidP="008A1D58">
      <w:pPr>
        <w:spacing w:before="100" w:beforeAutospacing="1" w:after="100" w:afterAutospacing="1" w:line="240" w:lineRule="auto"/>
      </w:pPr>
      <w:r>
        <w:t>Experiment Step 1…</w:t>
      </w:r>
    </w:p>
    <w:p w14:paraId="4E7F9971" w14:textId="1BEB5996" w:rsidR="00784110" w:rsidRDefault="00784110" w:rsidP="00784110">
      <w:pPr>
        <w:spacing w:before="100" w:beforeAutospacing="1" w:after="100" w:afterAutospacing="1" w:line="240" w:lineRule="auto"/>
      </w:pPr>
      <w:r>
        <w:t xml:space="preserve">Experiment Step </w:t>
      </w:r>
      <w:r>
        <w:t>2</w:t>
      </w:r>
      <w:r>
        <w:t>…</w:t>
      </w:r>
    </w:p>
    <w:p w14:paraId="102E73C6" w14:textId="47C2A09D" w:rsidR="00784110" w:rsidRDefault="00784110" w:rsidP="00784110">
      <w:pPr>
        <w:spacing w:before="100" w:beforeAutospacing="1" w:after="100" w:afterAutospacing="1" w:line="240" w:lineRule="auto"/>
      </w:pPr>
      <w:r>
        <w:t xml:space="preserve">Experiment Step </w:t>
      </w:r>
      <w:r>
        <w:t>3</w:t>
      </w:r>
      <w:r>
        <w:t>…</w:t>
      </w:r>
    </w:p>
    <w:p w14:paraId="611C1FBC" w14:textId="44A64DC8" w:rsidR="00784110" w:rsidRDefault="00784110" w:rsidP="00784110">
      <w:pPr>
        <w:spacing w:before="100" w:beforeAutospacing="1" w:after="100" w:afterAutospacing="1" w:line="240" w:lineRule="auto"/>
      </w:pPr>
      <w:r>
        <w:t xml:space="preserve">Experiment Step </w:t>
      </w:r>
      <w:r>
        <w:t>4</w:t>
      </w:r>
      <w:r>
        <w:t>…</w:t>
      </w:r>
    </w:p>
    <w:p w14:paraId="0EFA60F7" w14:textId="6E89D1F2" w:rsidR="00784110" w:rsidRDefault="00784110" w:rsidP="00784110">
      <w:pPr>
        <w:spacing w:before="100" w:beforeAutospacing="1" w:after="100" w:afterAutospacing="1" w:line="240" w:lineRule="auto"/>
      </w:pPr>
      <w:r>
        <w:t xml:space="preserve">Experiment Step </w:t>
      </w:r>
      <w:r>
        <w:t>5</w:t>
      </w:r>
      <w:r>
        <w:t>…</w:t>
      </w:r>
    </w:p>
    <w:p w14:paraId="38481325" w14:textId="53A47379" w:rsidR="00784110" w:rsidRDefault="00784110" w:rsidP="00784110">
      <w:pPr>
        <w:spacing w:before="100" w:beforeAutospacing="1" w:after="100" w:afterAutospacing="1" w:line="240" w:lineRule="auto"/>
      </w:pPr>
      <w:r>
        <w:t>Conclusion…</w:t>
      </w: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29061B21" w14:textId="77777777" w:rsidR="001E76FD" w:rsidRDefault="001E76FD" w:rsidP="001E76FD">
      <w:pPr>
        <w:spacing w:before="100" w:beforeAutospacing="1" w:after="100" w:afterAutospacing="1" w:line="240" w:lineRule="auto"/>
      </w:pPr>
      <w:r>
        <w:t xml:space="preserve">Metrics to apply to any meaningful credit card fraud detection model; </w:t>
      </w:r>
    </w:p>
    <w:p w14:paraId="6A4B9A13" w14:textId="77777777" w:rsidR="001E76FD" w:rsidRDefault="001E76FD" w:rsidP="001E76FD">
      <w:pPr>
        <w:spacing w:before="100" w:beforeAutospacing="1" w:after="100" w:afterAutospacing="1" w:line="240" w:lineRule="auto"/>
      </w:pPr>
      <w:r>
        <w:t>1. F1 and Recall are better score for credit card fraud detection problems, as opposed to simple accuracy, because of the uneven class distribution seen in many credit card datasets. Taking comparative NN fraud detection experiments from Sinac et al. (2021) and Anowar &amp; Sadaoui (2020), a target threshold of &gt;= 0.85 and &gt;=0.9 will apply for F1 and Recall, respectively, to the NN model created in the initial experiment steps. This will ensure that a performant NN model has been created prior to the measurements of the results from the five experiments on the separate interpretability frameworks.</w:t>
      </w:r>
    </w:p>
    <w:p w14:paraId="062A8A3E" w14:textId="77777777" w:rsidR="001E76FD" w:rsidRDefault="001E76FD" w:rsidP="008A1D58">
      <w:pPr>
        <w:spacing w:before="100" w:beforeAutospacing="1" w:after="100" w:afterAutospacing="1" w:line="240" w:lineRule="auto"/>
      </w:pPr>
    </w:p>
    <w:p w14:paraId="4B253214" w14:textId="4B8D48B1" w:rsidR="00F42CCD" w:rsidRDefault="00F42CCD" w:rsidP="008A1D58">
      <w:pPr>
        <w:spacing w:before="100" w:beforeAutospacing="1" w:after="100" w:afterAutospacing="1" w:line="240" w:lineRule="auto"/>
      </w:pPr>
      <w:r>
        <w:t xml:space="preserve">Explainability Metrics (based on explainability framework comparison research by (Guidotti et al., 2019); (Honegger, 2018); (ElShawi et al., 2020); </w:t>
      </w:r>
    </w:p>
    <w:p w14:paraId="6CFEFD8F" w14:textId="77777777" w:rsidR="00F42CCD" w:rsidRDefault="00F42CCD" w:rsidP="008A1D58">
      <w:pPr>
        <w:spacing w:before="100" w:beforeAutospacing="1" w:after="100" w:afterAutospacing="1" w:line="240" w:lineRule="auto"/>
      </w:pPr>
      <w:r>
        <w:t xml:space="preserve">1. Fidelity. A measure of the matching decisions from the interpretable predictor against the decisions from the ‘black box’ model. </w:t>
      </w:r>
    </w:p>
    <w:p w14:paraId="0D523E0E" w14:textId="77777777" w:rsidR="00F42CCD" w:rsidRDefault="00F42CCD" w:rsidP="008A1D58">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723502A" w14:textId="77777777" w:rsidR="00F42CCD" w:rsidRDefault="00F42CCD" w:rsidP="008A1D58">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0C73420" w14:textId="77777777" w:rsidR="00F42CCD" w:rsidRDefault="00F42CCD" w:rsidP="008A1D58">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527736F" w14:textId="77777777" w:rsidR="00F42CCD" w:rsidRDefault="00F42CCD" w:rsidP="008A1D58">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158451ED" w14:textId="77777777" w:rsidR="00F42CCD" w:rsidRDefault="00F42CCD" w:rsidP="008A1D58">
      <w:pPr>
        <w:spacing w:before="100" w:beforeAutospacing="1" w:after="100" w:afterAutospacing="1" w:line="240" w:lineRule="auto"/>
      </w:pPr>
    </w:p>
    <w:p w14:paraId="7393135D" w14:textId="77777777" w:rsidR="00F42CCD" w:rsidRDefault="00F42CCD" w:rsidP="008A1D58">
      <w:pPr>
        <w:spacing w:before="100" w:beforeAutospacing="1" w:after="100" w:afterAutospacing="1" w:line="240" w:lineRule="auto"/>
      </w:pPr>
    </w:p>
    <w:p w14:paraId="6C5AC5AD" w14:textId="0D4C29F9" w:rsidR="00F42CCD" w:rsidRDefault="00F42CCD" w:rsidP="008A1D58">
      <w:pPr>
        <w:spacing w:before="100" w:beforeAutospacing="1" w:after="100" w:afterAutospacing="1" w:line="240" w:lineRule="auto"/>
      </w:pPr>
      <w:r>
        <w:t>Add description of Significance (Friedman) tests, and Reference…</w:t>
      </w:r>
    </w:p>
    <w:p w14:paraId="53B5635C" w14:textId="668441DD" w:rsidR="001E76FD" w:rsidRPr="009F4EEC" w:rsidRDefault="001E76FD" w:rsidP="008A1D58">
      <w:pPr>
        <w:spacing w:before="100" w:beforeAutospacing="1" w:after="100" w:afterAutospacing="1" w:line="240" w:lineRule="auto"/>
        <w:rPr>
          <w:rFonts w:ascii="Helvetica" w:eastAsia="Times New Roman" w:hAnsi="Helvetica" w:cs="Helvetica"/>
          <w:color w:val="3C763D"/>
          <w:sz w:val="21"/>
          <w:szCs w:val="21"/>
          <w:lang w:eastAsia="en-GB"/>
        </w:rPr>
      </w:pPr>
      <w:r>
        <w:t>Relate findings to research question…</w:t>
      </w:r>
    </w:p>
    <w:p w14:paraId="715E7774" w14:textId="77777777" w:rsidR="009F4EEC" w:rsidRDefault="009F4EEC"/>
    <w:p w14:paraId="501995D9" w14:textId="77777777" w:rsidR="009F4EEC" w:rsidRDefault="009F4EEC"/>
    <w:sectPr w:rsidR="009F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2"/>
  </w:num>
  <w:num w:numId="2" w16cid:durableId="1181241717">
    <w:abstractNumId w:val="0"/>
  </w:num>
  <w:num w:numId="3" w16cid:durableId="113660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A7A33"/>
    <w:rsid w:val="00112AAF"/>
    <w:rsid w:val="00190477"/>
    <w:rsid w:val="001E1506"/>
    <w:rsid w:val="001E76FD"/>
    <w:rsid w:val="0021315E"/>
    <w:rsid w:val="00231C18"/>
    <w:rsid w:val="002D2931"/>
    <w:rsid w:val="002F3A0C"/>
    <w:rsid w:val="00324EA9"/>
    <w:rsid w:val="00372345"/>
    <w:rsid w:val="003967F9"/>
    <w:rsid w:val="00411C21"/>
    <w:rsid w:val="00541C20"/>
    <w:rsid w:val="00556FE9"/>
    <w:rsid w:val="005A7D22"/>
    <w:rsid w:val="00651D15"/>
    <w:rsid w:val="00685AD3"/>
    <w:rsid w:val="00784110"/>
    <w:rsid w:val="007C099C"/>
    <w:rsid w:val="007F3025"/>
    <w:rsid w:val="007F6204"/>
    <w:rsid w:val="00830DBD"/>
    <w:rsid w:val="00837C72"/>
    <w:rsid w:val="008A1D58"/>
    <w:rsid w:val="00983817"/>
    <w:rsid w:val="00990DD0"/>
    <w:rsid w:val="009F4EEC"/>
    <w:rsid w:val="009F7D14"/>
    <w:rsid w:val="00A11205"/>
    <w:rsid w:val="00A32E1C"/>
    <w:rsid w:val="00A574B2"/>
    <w:rsid w:val="00A61595"/>
    <w:rsid w:val="00AC72FA"/>
    <w:rsid w:val="00AE093E"/>
    <w:rsid w:val="00AF58AD"/>
    <w:rsid w:val="00B532D1"/>
    <w:rsid w:val="00B53D89"/>
    <w:rsid w:val="00B94D1D"/>
    <w:rsid w:val="00BB6273"/>
    <w:rsid w:val="00BB6D4B"/>
    <w:rsid w:val="00BE12DA"/>
    <w:rsid w:val="00BE17DB"/>
    <w:rsid w:val="00C41B51"/>
    <w:rsid w:val="00D57AB4"/>
    <w:rsid w:val="00D84528"/>
    <w:rsid w:val="00DC2189"/>
    <w:rsid w:val="00DD446F"/>
    <w:rsid w:val="00E97BD3"/>
    <w:rsid w:val="00F42CCD"/>
    <w:rsid w:val="00F7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16</cp:revision>
  <dcterms:created xsi:type="dcterms:W3CDTF">2022-12-22T13:54:00Z</dcterms:created>
  <dcterms:modified xsi:type="dcterms:W3CDTF">2022-12-22T17:24:00Z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