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is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 xml:space="preserve">The second model exercise begins with another SageMaker notebook importing the Microsoft </w:t>
      </w:r>
      <w:proofErr w:type="spellStart"/>
      <w:r>
        <w:t>InterpretML</w:t>
      </w:r>
      <w:proofErr w:type="spellEnd"/>
      <w:r>
        <w:t xml:space="preserve">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7D515B1B" w14:textId="07317D5C" w:rsidR="00A574B2" w:rsidRDefault="009562AE" w:rsidP="008A1D58">
      <w:pPr>
        <w:spacing w:before="100" w:beforeAutospacing="1" w:after="100" w:afterAutospacing="1" w:line="240" w:lineRule="auto"/>
      </w:pPr>
      <w:r>
        <w:t xml:space="preserve">The form of the research is to gather knowledge from the numerical results of the experiments, and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the numerical outputs of each experiment, to generate the best local explanations for a credit card fraud classification result.</w:t>
      </w:r>
      <w:r>
        <w:t xml:space="preserve"> </w:t>
      </w:r>
      <w:r w:rsidR="00983817">
        <w:t xml:space="preserve">The statistical analysis will </w:t>
      </w:r>
      <w:r>
        <w:t xml:space="preserve">also go on to determine if one or more techniques are shown to </w:t>
      </w:r>
      <w:r w:rsidR="0012634A">
        <w:t xml:space="preserve">not just rank higher than the others </w:t>
      </w:r>
      <w:r>
        <w:t xml:space="preserve">but </w:t>
      </w:r>
      <w:r w:rsidR="0012634A">
        <w:t>actually perform</w:t>
      </w:r>
      <w:r>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The explainability</w:t>
      </w:r>
      <w:r>
        <w:t xml:space="preserve"> </w:t>
      </w:r>
      <w:r>
        <w:t>m</w:t>
      </w:r>
      <w:r>
        <w:t>etrics</w:t>
      </w:r>
      <w:r>
        <w:t xml:space="preserve"> proposed </w:t>
      </w:r>
      <w:r w:rsidR="005571D6">
        <w:t>below</w:t>
      </w:r>
      <w:r>
        <w:t xml:space="preserve"> extend the </w:t>
      </w:r>
      <w:r>
        <w:t>explainability framework comparison research</w:t>
      </w:r>
      <w:r>
        <w:t xml:space="preserve"> conducted</w:t>
      </w:r>
      <w:r>
        <w:t xml:space="preserve"> by (ElShawi et al., 2020)</w:t>
      </w:r>
      <w:r>
        <w:t xml:space="preserve">, but transfers the domain from healthcare analysis to fraud detection. ElShawi et al was in turn influenced by </w:t>
      </w:r>
      <w:r w:rsidR="0026180F">
        <w:t>papers</w:t>
      </w:r>
      <w:r w:rsidR="00347E0C">
        <w:t xml:space="preserve"> from </w:t>
      </w:r>
      <w:r>
        <w:t xml:space="preserve">Honegger </w:t>
      </w:r>
      <w:r w:rsidR="00347E0C">
        <w:t>(</w:t>
      </w:r>
      <w:r>
        <w:t>2018)</w:t>
      </w:r>
      <w:r>
        <w:t xml:space="preserve"> and </w:t>
      </w:r>
      <w:r>
        <w:t>Guidotti et al.</w:t>
      </w:r>
      <w:r w:rsidR="00347E0C">
        <w:t xml:space="preserve"> (</w:t>
      </w:r>
      <w:r>
        <w:t>2019)</w:t>
      </w:r>
      <w:r>
        <w:t>.</w:t>
      </w:r>
      <w:r>
        <w:t xml:space="preserve"> </w:t>
      </w:r>
      <w:r>
        <w:t xml:space="preserve">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w:t>
      </w:r>
      <w:r w:rsidR="0076106E">
        <w:rPr>
          <w:rFonts w:cstheme="minorHAnsi"/>
          <w:color w:val="000000"/>
          <w:shd w:val="clear" w:color="auto" w:fill="FFFFFF"/>
        </w:rPr>
        <w:t xml:space="preserve">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w:t>
      </w:r>
      <w:r w:rsidR="0076106E">
        <w:rPr>
          <w:rFonts w:cstheme="minorHAnsi"/>
          <w:color w:val="000000"/>
          <w:shd w:val="clear" w:color="auto" w:fill="FFFFFF"/>
        </w:rPr>
        <w:t xml:space="preserve">.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715E7774" w14:textId="77777777" w:rsidR="009F4EEC" w:rsidRDefault="009F4EEC"/>
    <w:p w14:paraId="501995D9" w14:textId="77777777"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2"/>
  </w:num>
  <w:num w:numId="2" w16cid:durableId="1181241717">
    <w:abstractNumId w:val="0"/>
  </w:num>
  <w:num w:numId="3" w16cid:durableId="113660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A7A33"/>
    <w:rsid w:val="00112AAF"/>
    <w:rsid w:val="0012634A"/>
    <w:rsid w:val="00190477"/>
    <w:rsid w:val="001C100D"/>
    <w:rsid w:val="001E1506"/>
    <w:rsid w:val="001E76FD"/>
    <w:rsid w:val="0021315E"/>
    <w:rsid w:val="002170FD"/>
    <w:rsid w:val="00231C18"/>
    <w:rsid w:val="0026180F"/>
    <w:rsid w:val="002D2931"/>
    <w:rsid w:val="002F3A0C"/>
    <w:rsid w:val="00324EA9"/>
    <w:rsid w:val="00347E0C"/>
    <w:rsid w:val="00372345"/>
    <w:rsid w:val="003967F9"/>
    <w:rsid w:val="003F0C26"/>
    <w:rsid w:val="00411C21"/>
    <w:rsid w:val="00524EC6"/>
    <w:rsid w:val="00541C20"/>
    <w:rsid w:val="00556FE9"/>
    <w:rsid w:val="005571D6"/>
    <w:rsid w:val="00575ACC"/>
    <w:rsid w:val="005A7D22"/>
    <w:rsid w:val="005B5224"/>
    <w:rsid w:val="00642886"/>
    <w:rsid w:val="00651D15"/>
    <w:rsid w:val="00685AD3"/>
    <w:rsid w:val="006B63E3"/>
    <w:rsid w:val="0076106E"/>
    <w:rsid w:val="00767C30"/>
    <w:rsid w:val="00784110"/>
    <w:rsid w:val="007C099C"/>
    <w:rsid w:val="007F3025"/>
    <w:rsid w:val="007F6204"/>
    <w:rsid w:val="00830DBD"/>
    <w:rsid w:val="00837C72"/>
    <w:rsid w:val="008A1D58"/>
    <w:rsid w:val="009562AE"/>
    <w:rsid w:val="00983817"/>
    <w:rsid w:val="00990DD0"/>
    <w:rsid w:val="009F4EEC"/>
    <w:rsid w:val="009F7D14"/>
    <w:rsid w:val="00A11205"/>
    <w:rsid w:val="00A32E1C"/>
    <w:rsid w:val="00A574B2"/>
    <w:rsid w:val="00A61595"/>
    <w:rsid w:val="00A77D8A"/>
    <w:rsid w:val="00A83CA1"/>
    <w:rsid w:val="00AC72FA"/>
    <w:rsid w:val="00AE093E"/>
    <w:rsid w:val="00AF58AD"/>
    <w:rsid w:val="00B532D1"/>
    <w:rsid w:val="00B53D89"/>
    <w:rsid w:val="00B94D1D"/>
    <w:rsid w:val="00BB6273"/>
    <w:rsid w:val="00BB6D4B"/>
    <w:rsid w:val="00BE12DA"/>
    <w:rsid w:val="00BE17DB"/>
    <w:rsid w:val="00C1171C"/>
    <w:rsid w:val="00C41B51"/>
    <w:rsid w:val="00D2422C"/>
    <w:rsid w:val="00D57AB4"/>
    <w:rsid w:val="00D84528"/>
    <w:rsid w:val="00DC2189"/>
    <w:rsid w:val="00DD446F"/>
    <w:rsid w:val="00E97BD3"/>
    <w:rsid w:val="00F42CCD"/>
    <w:rsid w:val="00F7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37</cp:revision>
  <dcterms:created xsi:type="dcterms:W3CDTF">2022-12-22T13:54:00Z</dcterms:created>
  <dcterms:modified xsi:type="dcterms:W3CDTF">2022-12-22T18:52:00Z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