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bf52dd2a94f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Decision Support Systems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50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2019 1St International Conference On Innovations In Information And Communication Technology (ICIICT)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41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Lecture Notes In Business Information Processing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9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Third International Conference On Smart Systems And Inventive Technology (ICSSIT)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+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16868e3e1d4a39" /><Relationship Type="http://schemas.openxmlformats.org/officeDocument/2006/relationships/numbering" Target="/word/numbering.xml" Id="R03876ce8220e41ff" /><Relationship Type="http://schemas.openxmlformats.org/officeDocument/2006/relationships/settings" Target="/word/settings.xml" Id="R60ce122b049d4b97" /></Relationships>
</file>