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52ce8ffba54c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World Happiness Report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CIA Factbook Details on Countries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Human Freedom Index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GDP per capita vs State fragility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Political Regimes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1241fd4cf44c8c" /><Relationship Type="http://schemas.openxmlformats.org/officeDocument/2006/relationships/numbering" Target="/word/numbering.xml" Id="Ra8f00429dd224e66" /><Relationship Type="http://schemas.openxmlformats.org/officeDocument/2006/relationships/settings" Target="/word/settings.xml" Id="R9aa52f8a78bb4596" /></Relationships>
</file>