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b/>
          <w:bCs/>
          <w:color w:val="2447D6"/>
          <w:sz w:val="22"/>
          <w:szCs w:val="22"/>
        </w:rPr>
        <w:t xml:space="preserve">PASSTHROUGH EXPERTS</w:t>
      </w:r>
    </w:p>
    <w:p>
      <w:pPr>
        <w:spacing w:after="160"/>
      </w:pPr>
      <w:r>
        <w:rPr>
          <w:b/>
          <w:bCs/>
          <w:color w:val="14181F"/>
          <w:sz w:val="56"/>
          <w:szCs w:val="56"/>
        </w:rPr>
        <w:t xml:space="preserve">Spec pack index and precedence</w:t>
      </w:r>
    </w:p>
    <w:p>
      <w:pPr>
        <w:pBdr>
          <w:bottom w:val="single" w:color="2447D6" w:sz="10" w:space="1"/>
        </w:pBdr>
      </w:pPr>
    </w:p>
    <w:p>
      <w:pPr>
        <w:spacing w:after="100"/>
      </w:pPr>
    </w:p>
    <w:p>
      <w:pPr>
        <w:spacing w:after="140" w:line="300"/>
      </w:pPr>
      <w:r>
        <w:t xml:space="preserve">Anyone building, reviewing or auditing Passthrough Experts should start here. This page says which documents exist, which one wins when two disagree, and what to hand to a builder.</w:t>
      </w:r>
    </w:p>
    <w:p>
      <w:pPr>
        <w:pStyle w:val="Heading2"/>
      </w:pPr>
      <w:r>
        <w:t xml:space="preserve">The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4326"/>
      </w:tblGrid>
      <w:tr>
        <w:trPr>
          <w:tblHeader/>
        </w:trPr>
        <w:tc>
          <w:tcPr>
            <w:tcW w:type="dxa" w:w="27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418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418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3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418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Passthrough Experts product specification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43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the product is, why, for whom; every feature with its reasoning; the rules (states, dispatch, claiming, grades, vetting, quality, disputes); pricing and economics; privacy and legal checklist; design direction; build phases with gates; risks, edge cases and acceptance criteria.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Passthrough Experts engineering specification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43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it is built: module layout, identity and permission matrix, field-level schema, state transitions, the scheduler, payments integration, the workbench engine, the assistant contract, grading engine, API contract, settings seed values, tests, migrations and spikes.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Design concepts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Six files</w:t>
            </w:r>
          </w:p>
        </w:tc>
        <w:tc>
          <w:tcPr>
            <w:tcW w:type="dxa" w:w="43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 direction and screen ideas. Prices, tier names and grade scales in them are out of date; the product specification, section 21, says what to take from each.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This index</w:t>
            </w:r>
          </w:p>
        </w:tc>
        <w:tc>
          <w:tcPr>
            <w:tcW w:type="dxa" w:w="2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43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Which document wins, and what a builder needs.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Precedence: which document wins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/>
      </w:r>
      <w:r>
        <w:rPr>
          <w:b/>
          <w:bCs/>
        </w:rPr>
        <w:t xml:space="preserve">Product intent and policy</w:t>
      </w:r>
      <w:r>
        <w:t xml:space="preserve"> (what the rules are, prices, penalties, who may do what): the product specification wins.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/>
      </w:r>
      <w:r>
        <w:rPr>
          <w:b/>
          <w:bCs/>
        </w:rPr>
        <w:t xml:space="preserve">Technical detail</w:t>
      </w:r>
      <w:r>
        <w:t xml:space="preserve"> (field names, types, state names, transitions, endpoints, settings keys and seed values, timings of the scheduler): the engineering specification wins.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/>
      </w:r>
      <w:r>
        <w:rPr>
          <w:b/>
          <w:bCs/>
        </w:rPr>
        <w:t xml:space="preserve">Numbers in both:</w:t>
      </w:r>
      <w:r>
        <w:t xml:space="preserve"> the settings table in the engineering specification (section 15) holds the live defaults, and product specification Appendix E lists the same values. If they differ, treat it as a defect, fix both, and use the engineering value in the meantime.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/>
      </w:r>
      <w:r>
        <w:rPr>
          <w:b/>
          <w:bCs/>
        </w:rPr>
        <w:t xml:space="preserve">Anything marked as a proposal</w:t>
      </w:r>
      <w:r>
        <w:t xml:space="preserve"> stays a proposal until the pilot has data; a builder may not turn a proposal into a hard-coded constant, only into a setting.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/>
      </w:r>
      <w:r>
        <w:rPr>
          <w:b/>
          <w:bCs/>
        </w:rPr>
        <w:t xml:space="preserve">The design concepts never win.</w:t>
      </w:r>
      <w:r>
        <w:t xml:space="preserve"> If a screen conflicts with either specification, the specification is right and the screen is out of date.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/>
      </w:r>
      <w:r>
        <w:rPr>
          <w:b/>
          <w:bCs/>
        </w:rPr>
        <w:t xml:space="preserve">The existing app wins over any description of it.</w:t>
      </w:r>
      <w:r>
        <w:t xml:space="preserve"> If the code differs from what a document says about the app, stop, record the difference and ask. Do not guess.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/>
      </w:r>
      <w:r>
        <w:rPr>
          <w:b/>
          <w:bCs/>
        </w:rPr>
        <w:t xml:space="preserve">A conflict not covered here is a blocker.</w:t>
      </w:r>
      <w:r>
        <w:t xml:space="preserve"> Flag it and stop that part of the work.</w:t>
      </w:r>
    </w:p>
    <w:p>
      <w:pPr>
        <w:pStyle w:val="Heading2"/>
      </w:pPr>
      <w:r>
        <w:t xml:space="preserve">Terminology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418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 and interface</w:t>
            </w:r>
          </w:p>
        </w:tc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418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Engineering and API</w:t>
            </w:r>
          </w:p>
        </w:tc>
        <w:tc>
          <w:tcPr>
            <w:tcW w:type="dxa" w:w="30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418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Same thing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0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Claim a job</w:t>
            </w:r>
          </w:p>
        </w:tc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Take</w:t>
            </w:r>
          </w:p>
        </w:tc>
        <w:tc>
          <w:tcPr>
            <w:tcW w:type="dxa" w:w="30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Release a job</w:t>
            </w:r>
          </w:p>
        </w:tc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 back</w:t>
            </w:r>
          </w:p>
        </w:tc>
        <w:tc>
          <w:tcPr>
            <w:tcW w:type="dxa" w:w="30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Expert admin</w:t>
            </w:r>
          </w:p>
        </w:tc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Operator, admin</w:t>
            </w:r>
          </w:p>
        </w:tc>
        <w:tc>
          <w:tcPr>
            <w:tcW w:type="dxa" w:w="30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Grader</w:t>
            </w:r>
          </w:p>
        </w:tc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Grader, reviewer</w:t>
            </w:r>
          </w:p>
        </w:tc>
        <w:tc>
          <w:tcPr>
            <w:tcW w:type="dxa" w:w="30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Human polish, Human rewrite</w:t>
            </w:r>
          </w:p>
        </w:tc>
        <w:tc>
          <w:tcPr>
            <w:tcW w:type="dxa" w:w="30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polish, seven_day, forty_eight_hour, twenty_four_hour</w:t>
            </w:r>
          </w:p>
        </w:tc>
        <w:tc>
          <w:tcPr>
            <w:tcW w:type="dxa" w:w="30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Tier names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What to hand a build chat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Both specifications and the three design files that match the screens in the current phase.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The kickoff message, with the phase, the spec sections that apply, the base commit and the delivery mode filled in.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The status file in the repository (docs/experts/STATUS.md), which a build chat reads first and updates last.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Nothing else. Earlier drafts are superseded and must not be used as a source.</w:t>
      </w:r>
    </w:p>
    <w:p>
      <w:pPr>
        <w:pStyle w:val="Heading2"/>
      </w:pPr>
      <w:r>
        <w:t xml:space="preserve">Decisions confirmed so far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418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14181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Separate expert realm and expert admins; graders are a role on an expert account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Decided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No discounts, promos, welcome codes, referral rewards or partner commission on human orders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Decided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No upgrade credit for recent Fix buyers in version 1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Default; revisit with pilot data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Strikes, not cash fees; a fee schedule exists only as an off switch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Default; counsel to confirm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Bonus cap 15% in total, rescue bonus inside it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Strikes counted for 30 days, kept 90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Revision clock 24 h for 24-hour jobs, otherwise 48 h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Phase 1 uses real pilot tables and the structured document if the editor spike passes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Default; spike decides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Adult customers only, optional consent to learn from edits, locked third-party details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Default; counsel to confirm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/>
                <w:bCs/>
                <w:sz w:val="18"/>
                <w:szCs w:val="18"/>
              </w:rPr>
              <w:t xml:space="preserve">Prices and expert pay</w:t>
            </w:r>
          </w:p>
        </w:tc>
        <w:tc>
          <w:tcPr>
            <w:tcW w:type="dxa" w:w="5426"/>
            <w:tcBorders>
              <w:top w:val="single" w:color="CBD2D9" w:sz="4"/>
              <w:left w:val="single" w:color="CBD2D9" w:sz="4"/>
              <w:bottom w:val="single" w:color="CBD2D9" w:sz="4"/>
              <w:right w:val="single" w:color="CBD2D9" w:sz="4"/>
            </w:tcBorders>
            <w:shd w:fill="F4F6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5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Proposals, set after Phase 0 and the pilot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i/>
          <w:iCs/>
        </w:rPr>
        <w:t xml:space="preserve">When a default is overridden, change it in the document that owns it and record the change in that document’s change list (product specification Appendix G, engineering specification section 22).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Page </w:t>
    </w:r>
    <w:r>
      <w:rPr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B5563"/>
        <w:sz w:val="16"/>
        <w:szCs w:val="16"/>
      </w:rPr>
      <w:t xml:space="preserve">Passthrough Experts · Spec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8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447D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Passthrough Experts: spec pack index and precedence</dc:title>
  <dc:creator>Saltern Studio</dc:creator>
  <cp:lastModifiedBy>Un-named</cp:lastModifiedBy>
  <cp:revision>1</cp:revision>
  <dcterms:created xsi:type="dcterms:W3CDTF">2026-10-23T19:20:41.463Z</dcterms:created>
  <dcterms:modified xsi:type="dcterms:W3CDTF">2026-10-23T19:20:41.463Z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