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2018-11-25</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
      <w:r>
        <w:t xml:space="preserve">Chapter 1</w:t>
      </w:r>
      <w:bookmarkEnd w:id="2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3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1"/>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Heading1"/>
      </w:pPr>
      <w:bookmarkStart w:id="43" w:name="chapter-2"/>
      <w:r>
        <w:t xml:space="preserve">Chapter 2</w:t>
      </w:r>
      <w:bookmarkEnd w:id="43"/>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Heading2"/>
      </w:pPr>
      <w:bookmarkStart w:id="57" w:name="subchapter-2.1-for-note-testing"/>
      <w:r>
        <w:t xml:space="preserve">Subchapter 2.1 for note testing</w:t>
      </w:r>
      <w:bookmarkEnd w:id="57"/>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5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Heading1"/>
      </w:pPr>
      <w:bookmarkStart w:id="62" w:name="chapter-3"/>
      <w:r>
        <w:t xml:space="preserve">Chapter 3</w:t>
      </w:r>
      <w:bookmarkEnd w:id="6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4"/>
      </w:r>
    </w:p>
    <w:p>
      <w:pPr>
        <w:pStyle w:val="Heading1"/>
      </w:pPr>
      <w:bookmarkStart w:id="65" w:name="bibliography"/>
      <w:r>
        <w:t xml:space="preserve">Bibliography</w:t>
      </w:r>
      <w:bookmarkEnd w:id="65"/>
    </w:p>
    <w:bookmarkStart w:id="78" w:name="refs"/>
    <w:bookmarkStart w:id="66"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6">
        <w:r>
          <w:rPr>
            <w:rStyle w:val="Hyperlink"/>
          </w:rPr>
          <w:t xml:space="preserve">http://www.hepg.org/hep-home/books/school-choice-and-school-improvement</w:t>
        </w:r>
      </w:hyperlink>
      <w:r>
        <w:t xml:space="preserve">.</w:t>
      </w:r>
    </w:p>
    <w:bookmarkEnd w:id="66"/>
    <w:bookmarkStart w:id="67"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bookmarkEnd w:id="67"/>
    <w:bookmarkStart w:id="68"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1">
        <w:r>
          <w:rPr>
            <w:rStyle w:val="Hyperlink"/>
          </w:rPr>
          <w:t xml:space="preserve">http://digitalrepository.trincoll.edu/cssp_papers/5/</w:t>
        </w:r>
      </w:hyperlink>
      <w:r>
        <w:t xml:space="preserve">.</w:t>
      </w:r>
    </w:p>
    <w:bookmarkEnd w:id="68"/>
    <w:bookmarkStart w:id="69"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32">
        <w:r>
          <w:rPr>
            <w:rStyle w:val="Hyperlink"/>
          </w:rPr>
          <w:t xml:space="preserve">http://digitalrepository.trincoll.edu/cssp_papers/4/</w:t>
        </w:r>
      </w:hyperlink>
      <w:r>
        <w:t xml:space="preserve">.</w:t>
      </w:r>
    </w:p>
    <w:bookmarkEnd w:id="69"/>
    <w:bookmarkStart w:id="70"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bookmarkEnd w:id="70"/>
    <w:bookmarkStart w:id="71"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bookmarkEnd w:id="71"/>
    <w:bookmarkStart w:id="72"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34">
        <w:r>
          <w:rPr>
            <w:rStyle w:val="Hyperlink"/>
          </w:rPr>
          <w:t xml:space="preserve">http://digitalrepository.trincoll.edu/cssp_papers/3/</w:t>
        </w:r>
      </w:hyperlink>
      <w:r>
        <w:t xml:space="preserve">.</w:t>
      </w:r>
    </w:p>
    <w:bookmarkEnd w:id="72"/>
    <w:bookmarkStart w:id="73"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bookmarkEnd w:id="73"/>
    <w:bookmarkStart w:id="74"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74"/>
    <w:bookmarkStart w:id="75"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bookmarkEnd w:id="75"/>
    <w:bookmarkStart w:id="76"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bookmarkEnd w:id="76"/>
    <w:bookmarkStart w:id="77"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26">
        <w:r>
          <w:rPr>
            <w:rStyle w:val="Hyperlink"/>
          </w:rPr>
          <w:t xml:space="preserve">http://magic.lib.uconn.edu/magic_2/raster/37840/hdimg_37840_155_1924_unkn_CSL_1_p.pdf</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25">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26">
        <w:r>
          <w:rPr>
            <w:rStyle w:val="Hyperlink"/>
          </w:rPr>
          <w:t xml:space="preserve">http://magic.lib.uconn.edu/magic_2/raster/37840/hdimg_37840_155_1924_unkn_CSL_1_p.pdf</w:t>
        </w:r>
      </w:hyperlink>
      <w:r>
        <w:t xml:space="preserve">.</w:t>
      </w:r>
    </w:p>
  </w:footnote>
  <w:footnote w:id="27">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footnote>
  <w:footnote w:id="29">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footnote>
  <w:footnote w:id="31">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32">
        <w:r>
          <w:rPr>
            <w:rStyle w:val="Hyperlink"/>
          </w:rPr>
          <w:t xml:space="preserve">http://digitalrepository.trincoll.edu/cssp_papers/4/</w:t>
        </w:r>
      </w:hyperlink>
      <w:r>
        <w:t xml:space="preserve">.</w:t>
      </w:r>
    </w:p>
  </w:footnote>
  <w:footnote w:id="33">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34">
        <w:r>
          <w:rPr>
            <w:rStyle w:val="Hyperlink"/>
          </w:rPr>
          <w:t xml:space="preserve">http://digitalrepository.trincoll.edu/cssp_papers/3/</w:t>
        </w:r>
      </w:hyperlink>
      <w:r>
        <w:t xml:space="preserve">.</w:t>
      </w:r>
    </w:p>
  </w:footnote>
  <w:footnote w:id="35">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footnote>
  <w:footnote w:id="37">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footnote>
  <w:footnote w:id="39">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footnote>
  <w:footnote w:id="41">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2">
    <w:p>
      <w:pPr>
        <w:pStyle w:val="FootnoteText"/>
      </w:pPr>
      <w:r>
        <w:rPr>
          <w:rStyle w:val="FootnoteReference"/>
        </w:rPr>
        <w:footnoteRef/>
      </w:r>
      <w:r>
        <w:t xml:space="preserve"> </w:t>
      </w:r>
      <w:r>
        <w:t xml:space="preserve">Dougherty, “Conflicting Questions.”</w:t>
      </w:r>
    </w:p>
  </w:footnote>
  <w:footnote w:id="44">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5">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46">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47">
    <w:p>
      <w:pPr>
        <w:pStyle w:val="FootnoteText"/>
      </w:pPr>
      <w:r>
        <w:rPr>
          <w:rStyle w:val="FootnoteReference"/>
        </w:rPr>
        <w:footnoteRef/>
      </w:r>
      <w:r>
        <w:t xml:space="preserve"> </w:t>
      </w:r>
      <w:r>
        <w:t xml:space="preserve">Dougherty, “Review of ’Connecticut’s Public Schools.”</w:t>
      </w:r>
    </w:p>
  </w:footnote>
  <w:footnote w:id="48">
    <w:p>
      <w:pPr>
        <w:pStyle w:val="FootnoteText"/>
      </w:pPr>
      <w:r>
        <w:rPr>
          <w:rStyle w:val="FootnoteReference"/>
        </w:rPr>
        <w:footnoteRef/>
      </w:r>
      <w:r>
        <w:t xml:space="preserve"> </w:t>
      </w:r>
      <w:r>
        <w:t xml:space="preserve">Dougherty, “Conflicting Questions.”</w:t>
      </w:r>
    </w:p>
  </w:footnote>
  <w:footnote w:id="49">
    <w:p>
      <w:pPr>
        <w:pStyle w:val="FootnoteText"/>
      </w:pPr>
      <w:r>
        <w:rPr>
          <w:rStyle w:val="FootnoteReference"/>
        </w:rPr>
        <w:footnoteRef/>
      </w:r>
      <w:r>
        <w:t xml:space="preserve"> </w:t>
      </w:r>
      <w:r>
        <w:t xml:space="preserve">Dougherty, Wanzer, and Ramsay, “Sheff V. O’Neill.”</w:t>
      </w:r>
    </w:p>
  </w:footnote>
  <w:footnote w:id="50">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1">
        <w:r>
          <w:rPr>
            <w:rStyle w:val="Hyperlink"/>
          </w:rPr>
          <w:t xml:space="preserve">http://digitalrepository.trincoll.edu/cssp_papers/5/</w:t>
        </w:r>
      </w:hyperlink>
      <w:r>
        <w:t xml:space="preserve">.</w:t>
      </w:r>
    </w:p>
  </w:footnote>
  <w:footnote w:id="52">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footnote>
  <w:footnote w:id="54">
    <w:p>
      <w:pPr>
        <w:pStyle w:val="FootnoteText"/>
      </w:pPr>
      <w:r>
        <w:rPr>
          <w:rStyle w:val="FootnoteReference"/>
        </w:rPr>
        <w:footnoteRef/>
      </w:r>
      <w:r>
        <w:t xml:space="preserve"> </w:t>
      </w:r>
      <w:r>
        <w:t xml:space="preserve">Wells et al., “Boundary Crossing for Diversity, Equity, and Achievement.”</w:t>
      </w:r>
    </w:p>
  </w:footnote>
  <w:footnote w:id="55">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6">
        <w:r>
          <w:rPr>
            <w:rStyle w:val="Hyperlink"/>
          </w:rPr>
          <w:t xml:space="preserve">http://www.hepg.org/hep-home/books/school-choice-and-school-improvement</w:t>
        </w:r>
      </w:hyperlink>
      <w:r>
        <w:t xml:space="preserve">.</w:t>
      </w:r>
    </w:p>
  </w:footnote>
  <w:footnote w:id="58">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9">
    <w:p>
      <w:pPr>
        <w:pStyle w:val="FootnoteText"/>
      </w:pPr>
      <w:r>
        <w:rPr>
          <w:rStyle w:val="FootnoteReference"/>
        </w:rPr>
        <w:footnoteRef/>
      </w:r>
      <w:r>
        <w:t xml:space="preserve"> </w:t>
      </w:r>
      <w:r>
        <w:t xml:space="preserve">Dougherty, “Review of ’Connecticut’s Public Schools.”</w:t>
      </w:r>
    </w:p>
  </w:footnote>
  <w:footnote w:id="6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1">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4">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2018-11-25T15:38:27Z</dcterms:created>
  <dcterms:modified xsi:type="dcterms:W3CDTF">2018-11-25T15:38:27Z</dcterms:modified>
</cp:coreProperties>
</file>