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Bookdown</w:t>
      </w:r>
      <w:r>
        <w:t xml:space="preserve"> </w:t>
      </w:r>
      <w:r>
        <w:t xml:space="preserve">test</w:t>
      </w:r>
    </w:p>
    <w:p>
      <w:pPr>
        <w:pStyle w:val="Subtitle"/>
      </w:pPr>
      <w:r>
        <w:t xml:space="preserve">subtitle</w:t>
      </w:r>
      <w:r>
        <w:t xml:space="preserve"> </w:t>
      </w:r>
      <w:r>
        <w:t xml:space="preserve">goes</w:t>
      </w:r>
      <w:r>
        <w:t xml:space="preserve"> </w:t>
      </w:r>
      <w:r>
        <w:t xml:space="preserve">here</w:t>
      </w:r>
    </w:p>
    <w:p>
      <w:pPr>
        <w:pStyle w:val="Author"/>
      </w:pPr>
      <w:r>
        <w:t xml:space="preserve">Jack</w:t>
      </w:r>
      <w:r>
        <w:t xml:space="preserve"> </w:t>
      </w:r>
      <w:r>
        <w:t xml:space="preserve">Dougherty</w:t>
      </w:r>
    </w:p>
    <w:p>
      <w:pPr>
        <w:pStyle w:val="Author"/>
      </w:pPr>
      <w:r>
        <w:t xml:space="preserve">and</w:t>
      </w:r>
      <w:r>
        <w:t xml:space="preserve"> </w:t>
      </w:r>
      <w:r>
        <w:t xml:space="preserve">contributors</w:t>
      </w:r>
    </w:p>
    <w:p>
      <w:pPr>
        <w:pStyle w:val="Date"/>
      </w:pPr>
      <w:r>
        <w:t xml:space="preserve">2018-12-09</w:t>
      </w:r>
    </w:p>
    <w:p>
      <w:pPr>
        <w:pStyle w:val="Heading1"/>
      </w:pPr>
      <w:bookmarkStart w:id="20" w:name="about-the-book"/>
      <w:r>
        <w:t xml:space="preserve">About the book</w:t>
      </w:r>
      <w:bookmarkEnd w:id="20"/>
    </w:p>
    <w:p>
      <w:pPr>
        <w:pStyle w:val="FirstParagraph"/>
      </w:pPr>
      <w:r>
        <w:t xml:space="preserve">This is a test book</w:t>
      </w:r>
    </w:p>
    <w:p>
      <w:pPr>
        <w:pStyle w:val="BodyText"/>
      </w:pPr>
      <w:r>
        <w:rPr>
          <w:b/>
        </w:rPr>
        <w:t xml:space="preserve">License</w:t>
      </w:r>
    </w:p>
    <w:p>
      <w:pPr>
        <w:pStyle w:val="BodyText"/>
      </w:pPr>
      <w:r>
        <w:t xml:space="preserve">This work is licensed under a</w:t>
      </w:r>
      <w:r>
        <w:t xml:space="preserve"> </w:t>
      </w:r>
      <w:r>
        <w:t xml:space="preserve">Creative Commons Attribution-NonCommercial-ShareAlike 4.0 International License</w:t>
      </w:r>
      <w:r>
        <w:t xml:space="preserve">.</w:t>
      </w:r>
    </w:p>
    <w:p>
      <w:pPr>
        <w:pStyle w:val="BodyText"/>
      </w:pPr>
      <w:r>
        <w:rPr>
          <w:b/>
        </w:rPr>
        <w:t xml:space="preserve">How to cite</w:t>
      </w:r>
      <w:r>
        <w:t xml:space="preserve">: insert here</w:t>
      </w:r>
    </w:p>
    <w:p>
      <w:pPr>
        <w:pStyle w:val="BodyText"/>
      </w:pPr>
      <w:r>
        <w:t xml:space="preserve">All text and code for this book is available on</w:t>
      </w:r>
      <w:r>
        <w:t xml:space="preserve"> </w:t>
      </w:r>
      <w:hyperlink r:id="rId21">
        <w:r>
          <w:rPr>
            <w:rStyle w:val="Hyperlink"/>
          </w:rPr>
          <w:t xml:space="preserve">GitHub</w:t>
        </w:r>
      </w:hyperlink>
      <w:r>
        <w:t xml:space="preserve">. This work is licensed under a</w:t>
      </w:r>
      <w:r>
        <w:t xml:space="preserve"> </w:t>
      </w:r>
      <w:r>
        <w:t xml:space="preserve">Creative Commons Attribution-NonCommercial-ShareAlike 4.0 International License</w:t>
      </w:r>
      <w:r>
        <w:t xml:space="preserve">.</w:t>
      </w:r>
      <w:r>
        <w:t xml:space="preserve"> </w:t>
      </w:r>
    </w:p>
    <w:p>
      <w:pPr>
        <w:pStyle w:val="Heading1"/>
      </w:pPr>
      <w:bookmarkStart w:id="22" w:name="chapter-1"/>
      <w:r>
        <w:t xml:space="preserve">Chapter 1</w:t>
      </w:r>
      <w:bookmarkEnd w:id="2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2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1"/>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3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3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1"/>
      </w:r>
    </w:p>
    <w:p>
      <w:pPr>
        <w:pStyle w:val="BodyText"/>
      </w:pPr>
      <w:r>
        <w:t xml:space="preserve">Second reference for this citation.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2"/>
      </w:r>
    </w:p>
    <w:p>
      <w:pPr>
        <w:pStyle w:val="Heading1"/>
      </w:pPr>
      <w:bookmarkStart w:id="43" w:name="chapter-2"/>
      <w:r>
        <w:t xml:space="preserve">Chapter 2</w:t>
      </w:r>
      <w:bookmarkEnd w:id="43"/>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5"/>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6"/>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7"/>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4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adipisicing elit, sed do eiusmod tempor incididunt ut labore et dolore magna aliqua. Ut enim ad minim veniam, quis nostrud exercitation ullamco laboris nisi ut aliquip ex ea commodo consequat.</w:t>
      </w:r>
      <w:r>
        <w:rPr>
          <w:rStyle w:val="FootnoteReference"/>
        </w:rPr>
        <w:footnoteReference w:id="5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2"/>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4"/>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5"/>
      </w:r>
    </w:p>
    <w:p>
      <w:pPr>
        <w:pStyle w:val="Heading2"/>
      </w:pPr>
      <w:bookmarkStart w:id="57" w:name="subchapter-2.1-for-note-testing"/>
      <w:r>
        <w:t xml:space="preserve">Subchapter 2.1 for note testing</w:t>
      </w:r>
      <w:bookmarkEnd w:id="57"/>
    </w:p>
    <w:p>
      <w:pPr>
        <w:pStyle w:val="FirstParagraph"/>
      </w:pPr>
      <w:r>
        <w:t xml:space="preserve">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 More text here.</w:t>
      </w:r>
      <w:r>
        <w:rPr>
          <w:rStyle w:val="FootnoteReference"/>
        </w:rPr>
        <w:footnoteReference w:id="58"/>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59"/>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0"/>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1"/>
      </w:r>
    </w:p>
    <w:p>
      <w:pPr>
        <w:pStyle w:val="Heading1"/>
      </w:pPr>
      <w:bookmarkStart w:id="62" w:name="chapter-3"/>
      <w:r>
        <w:t xml:space="preserve">Chapter 3</w:t>
      </w:r>
      <w:bookmarkEnd w:id="62"/>
    </w:p>
    <w:p>
      <w:pPr>
        <w:pStyle w:val="FirstParagraph"/>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3"/>
      </w:r>
    </w:p>
    <w:p>
      <w:pPr>
        <w:pStyle w:val="BodyText"/>
      </w:pPr>
      <w: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FootnoteReference"/>
        </w:rPr>
        <w:footnoteReference w:id="64"/>
      </w:r>
    </w:p>
    <w:p>
      <w:pPr>
        <w:pStyle w:val="BodyText"/>
      </w:pPr>
      <w:r>
        <w:t xml:space="preserve">added text</w:t>
      </w:r>
    </w:p>
    <w:p>
      <w:pPr>
        <w:pStyle w:val="Heading1"/>
      </w:pPr>
      <w:bookmarkStart w:id="65" w:name="bibliography"/>
      <w:r>
        <w:t xml:space="preserve">Bibliography</w:t>
      </w:r>
      <w:bookmarkEnd w:id="65"/>
    </w:p>
    <w:bookmarkStart w:id="78" w:name="refs"/>
    <w:bookmarkStart w:id="66" w:name="ref-berendsSchoolChoiceSchool2011"/>
    <w:p>
      <w:pPr>
        <w:pStyle w:val="Bibliography"/>
      </w:pPr>
      <w:r>
        <w:t xml:space="preserve">Berends, Mark, Marisa Cannata, and Ellen Goldring, eds.</w:t>
      </w:r>
      <w:r>
        <w:t xml:space="preserve"> </w:t>
      </w:r>
      <w:r>
        <w:rPr>
          <w:i/>
        </w:rPr>
        <w:t xml:space="preserve">School Choice and School Improvement</w:t>
      </w:r>
      <w:r>
        <w:t xml:space="preserve">. Cambridge Mass.: Harvard Education Press, 2011.</w:t>
      </w:r>
      <w:r>
        <w:t xml:space="preserve"> </w:t>
      </w:r>
      <w:hyperlink r:id="rId56">
        <w:r>
          <w:rPr>
            <w:rStyle w:val="Hyperlink"/>
          </w:rPr>
          <w:t xml:space="preserve">http://www.hepg.org/hep-home/books/school-choice-and-school-improvement</w:t>
        </w:r>
      </w:hyperlink>
      <w:r>
        <w:t xml:space="preserve">.</w:t>
      </w:r>
    </w:p>
    <w:bookmarkEnd w:id="66"/>
    <w:bookmarkStart w:id="67" w:name="ref-delatorreAchieveHartfordAppoints2012"/>
    <w:p>
      <w:pPr>
        <w:pStyle w:val="Bibliography"/>
      </w:pPr>
      <w:r>
        <w:t xml:space="preserve">De La Torre, Vanessa.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bookmarkEnd w:id="67"/>
    <w:bookmarkStart w:id="68" w:name="ref-doughertyBridgingGapUrban2007"/>
    <w:p>
      <w:pPr>
        <w:pStyle w:val="Bibliography"/>
      </w:pPr>
      <w:r>
        <w:t xml:space="preserve">Dougherty, Jack. “Bridging the Gap Between Urban, Suburban, and Educational History.” In</w:t>
      </w:r>
      <w:r>
        <w:t xml:space="preserve"> </w:t>
      </w:r>
      <w:r>
        <w:rPr>
          <w:i/>
        </w:rPr>
        <w:t xml:space="preserve">Rethinking the History of American Education</w:t>
      </w:r>
      <w:r>
        <w:t xml:space="preserve">, edited by William Reese and John Rury, 245–59. New York: Palgrave MacMillan Press, 2007.</w:t>
      </w:r>
      <w:r>
        <w:t xml:space="preserve"> </w:t>
      </w:r>
      <w:hyperlink r:id="rId51">
        <w:r>
          <w:rPr>
            <w:rStyle w:val="Hyperlink"/>
          </w:rPr>
          <w:t xml:space="preserve">http://digitalrepository.trincoll.edu/cssp_papers/5/</w:t>
        </w:r>
      </w:hyperlink>
      <w:r>
        <w:t xml:space="preserve">.</w:t>
      </w:r>
    </w:p>
    <w:bookmarkEnd w:id="68"/>
    <w:bookmarkStart w:id="69" w:name="ref-doughertyConflictingQuestionsWhy2009"/>
    <w:p>
      <w:pPr>
        <w:pStyle w:val="Bibliography"/>
      </w:pPr>
      <w:r>
        <w:t xml:space="preserve">———. “Conflicting Questions: Why Historians and Policymakers Miscommunicate on Urban Education.” In</w:t>
      </w:r>
      <w:r>
        <w:t xml:space="preserve"> </w:t>
      </w:r>
      <w:r>
        <w:rPr>
          <w:i/>
        </w:rPr>
        <w:t xml:space="preserve">Clio at the Table: Using History to Inform and Improve Education Policy</w:t>
      </w:r>
      <w:r>
        <w:t xml:space="preserve">, edited by Kenneth Wong and Robert Rothman, 251–62. New York: Peter Lang, 2009.</w:t>
      </w:r>
      <w:r>
        <w:t xml:space="preserve"> </w:t>
      </w:r>
      <w:hyperlink r:id="rId32">
        <w:r>
          <w:rPr>
            <w:rStyle w:val="Hyperlink"/>
          </w:rPr>
          <w:t xml:space="preserve">http://digitalrepository.trincoll.edu/cssp_papers/4/</w:t>
        </w:r>
      </w:hyperlink>
      <w:r>
        <w:t xml:space="preserve">.</w:t>
      </w:r>
    </w:p>
    <w:bookmarkEnd w:id="69"/>
    <w:bookmarkStart w:id="70" w:name="ref-doughertyReviewConnecticutPublic2011"/>
    <w:p>
      <w:pPr>
        <w:pStyle w:val="Bibliography"/>
      </w:pPr>
      <w:r>
        <w:t xml:space="preserve">———.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bookmarkEnd w:id="70"/>
    <w:bookmarkStart w:id="71" w:name="ref-doughertySchoolChoiceSuburbia2009"/>
    <w:p>
      <w:pPr>
        <w:pStyle w:val="Bibliography"/>
      </w:pPr>
      <w:r>
        <w:t xml:space="preserve">Dougherty, Jack, Jeffrey Harrelson, Laura Maloney, Drew Murphy, Russell Smith, Michael Snow, and Diane Zannoni.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bookmarkEnd w:id="71"/>
    <w:bookmarkStart w:id="72" w:name="ref-doughertySheffNeillWeak2009"/>
    <w:p>
      <w:pPr>
        <w:pStyle w:val="Bibliography"/>
      </w:pPr>
      <w:r>
        <w:t xml:space="preserve">Dougherty, Jack,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edited by Claire Smrekar and Ellen Goldring, 103–27. Cambridge, MA: Harvard Education Press, 2009.</w:t>
      </w:r>
      <w:r>
        <w:t xml:space="preserve"> </w:t>
      </w:r>
      <w:hyperlink r:id="rId34">
        <w:r>
          <w:rPr>
            <w:rStyle w:val="Hyperlink"/>
          </w:rPr>
          <w:t xml:space="preserve">http://digitalrepository.trincoll.edu/cssp_papers/3/</w:t>
        </w:r>
      </w:hyperlink>
      <w:r>
        <w:t xml:space="preserve">.</w:t>
      </w:r>
    </w:p>
    <w:bookmarkEnd w:id="72"/>
    <w:bookmarkStart w:id="73" w:name="ref-penningtonPoliticalHistorySchool2007"/>
    <w:p>
      <w:pPr>
        <w:pStyle w:val="Bibliography"/>
      </w:pPr>
      <w:r>
        <w:t xml:space="preserve">Pennington, Lis,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bookmarkEnd w:id="73"/>
    <w:bookmarkStart w:id="74" w:name="ref-tegelerFindingCommonGround2011"/>
    <w:p>
      <w:pPr>
        <w:pStyle w:val="Bibliography"/>
      </w:pPr>
      <w:r>
        <w:t xml:space="preserve">Tegeler, Philip, ed.</w:t>
      </w:r>
      <w:r>
        <w:t xml:space="preserve"> </w:t>
      </w:r>
      <w:r>
        <w:rPr>
          <w:i/>
        </w:rPr>
        <w:t xml:space="preserve">Finding Common Ground: Coordinating Housing and Education Policy to Promote Integration</w:t>
      </w:r>
      <w:r>
        <w:t xml:space="preserve">. Washington, DC: Poverty &amp; Race Research Action Council, 2011.</w:t>
      </w:r>
      <w:r>
        <w:t xml:space="preserve"> </w:t>
      </w:r>
      <w:hyperlink r:id="rId24">
        <w:r>
          <w:rPr>
            <w:rStyle w:val="Hyperlink"/>
          </w:rPr>
          <w:t xml:space="preserve">http://www.prrac.org/pubs.php</w:t>
        </w:r>
      </w:hyperlink>
      <w:r>
        <w:t xml:space="preserve">.</w:t>
      </w:r>
    </w:p>
    <w:bookmarkEnd w:id="74"/>
    <w:bookmarkStart w:id="75" w:name="ref-thomasCTSchoolFunding2015"/>
    <w:p>
      <w:pPr>
        <w:pStyle w:val="Bibliography"/>
      </w:pPr>
      <w:r>
        <w:t xml:space="preserve">Thomas, Jacqueline Rabe.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bookmarkEnd w:id="75"/>
    <w:bookmarkStart w:id="76" w:name="ref-wellsBoundaryCrossingDiversity2009"/>
    <w:p>
      <w:pPr>
        <w:pStyle w:val="Bibliography"/>
      </w:pPr>
      <w:r>
        <w:t xml:space="preserve">Wells, Amy Stuart, Bianca J. Baldridge, J. Duran, C. Grzesikowski, R. Lofton, A. Roda, M. Warner, and T. White.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bookmarkEnd w:id="76"/>
    <w:bookmarkStart w:id="77" w:name="ref-whittenWestHartfordZoning1924"/>
    <w:p>
      <w:pPr>
        <w:pStyle w:val="Bibliography"/>
      </w:pPr>
      <w:r>
        <w:t xml:space="preserve">Whitten, Robert Harvey.</w:t>
      </w:r>
      <w:r>
        <w:t xml:space="preserve"> </w:t>
      </w:r>
      <w:r>
        <w:rPr>
          <w:i/>
        </w:rPr>
        <w:t xml:space="preserve">West Hartford Zoning: Report to the Zoning Commission on the Zoning of West Hartford</w:t>
      </w:r>
      <w:r>
        <w:t xml:space="preserve">. West Hartford, Conn: Zoning Commission, 1924.</w:t>
      </w:r>
      <w:r>
        <w:t xml:space="preserve"> </w:t>
      </w:r>
      <w:hyperlink r:id="rId26">
        <w:r>
          <w:rPr>
            <w:rStyle w:val="Hyperlink"/>
          </w:rPr>
          <w:t xml:space="preserve">http://magic.lib.uconn.edu/magic_2/raster/37840/hdimg_37840_155_1924_unkn_CSL_1_p.pdf</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Philip Tegeler, ed.,</w:t>
      </w:r>
      <w:r>
        <w:t xml:space="preserve"> </w:t>
      </w:r>
      <w:r>
        <w:rPr>
          <w:i/>
        </w:rPr>
        <w:t xml:space="preserve">Finding Common Ground: Coordinating Housing and Education Policy to Promote Integration</w:t>
      </w:r>
      <w:r>
        <w:t xml:space="preserve"> </w:t>
      </w:r>
      <w:r>
        <w:t xml:space="preserve">(Washington, DC: Poverty &amp; Race Research Action Council, 2011),</w:t>
      </w:r>
      <w:r>
        <w:t xml:space="preserve"> </w:t>
      </w:r>
      <w:hyperlink r:id="rId24">
        <w:r>
          <w:rPr>
            <w:rStyle w:val="Hyperlink"/>
          </w:rPr>
          <w:t xml:space="preserve">http://www.prrac.org/pubs.php</w:t>
        </w:r>
      </w:hyperlink>
      <w:r>
        <w:t xml:space="preserve">.</w:t>
      </w:r>
    </w:p>
  </w:footnote>
  <w:footnote w:id="25">
    <w:p>
      <w:pPr>
        <w:pStyle w:val="FootnoteText"/>
      </w:pPr>
      <w:r>
        <w:rPr>
          <w:rStyle w:val="FootnoteReference"/>
        </w:rPr>
        <w:footnoteRef/>
      </w:r>
      <w:r>
        <w:t xml:space="preserve"> </w:t>
      </w:r>
      <w:r>
        <w:t xml:space="preserve">Robert Harvey Whitten,</w:t>
      </w:r>
      <w:r>
        <w:t xml:space="preserve"> </w:t>
      </w:r>
      <w:r>
        <w:rPr>
          <w:i/>
        </w:rPr>
        <w:t xml:space="preserve">West Hartford Zoning: Report to the Zoning Commission on the Zoning of West Hartford</w:t>
      </w:r>
      <w:r>
        <w:t xml:space="preserve"> </w:t>
      </w:r>
      <w:r>
        <w:t xml:space="preserve">(West Hartford, Conn: Zoning Commission, 1924),</w:t>
      </w:r>
      <w:r>
        <w:t xml:space="preserve"> </w:t>
      </w:r>
      <w:hyperlink r:id="rId26">
        <w:r>
          <w:rPr>
            <w:rStyle w:val="Hyperlink"/>
          </w:rPr>
          <w:t xml:space="preserve">http://magic.lib.uconn.edu/magic_2/raster/37840/hdimg_37840_155_1924_unkn_CSL_1_p.pdf</w:t>
        </w:r>
      </w:hyperlink>
      <w:r>
        <w:t xml:space="preserve">.</w:t>
      </w:r>
    </w:p>
  </w:footnote>
  <w:footnote w:id="27">
    <w:p>
      <w:pPr>
        <w:pStyle w:val="FootnoteText"/>
      </w:pPr>
      <w:r>
        <w:rPr>
          <w:rStyle w:val="FootnoteReference"/>
        </w:rPr>
        <w:footnoteRef/>
      </w:r>
      <w:r>
        <w:t xml:space="preserve"> </w:t>
      </w:r>
      <w:r>
        <w:t xml:space="preserve">Lis Pennington, Emily Steele, and Jack Dougherty, “A Political History of School Finance Reform in Metropolitan Hartford, Connecticut, 1945-2005,” Paper (Chicago, Illinois, April 2007),</w:t>
      </w:r>
      <w:r>
        <w:t xml:space="preserve"> </w:t>
      </w:r>
      <w:hyperlink r:id="rId28">
        <w:r>
          <w:rPr>
            <w:rStyle w:val="Hyperlink"/>
          </w:rPr>
          <w:t xml:space="preserve">http://digitalrepository.trincoll.edu/cssp_papers/29/</w:t>
        </w:r>
      </w:hyperlink>
      <w:r>
        <w:t xml:space="preserve">.</w:t>
      </w:r>
    </w:p>
  </w:footnote>
  <w:footnote w:id="29">
    <w:p>
      <w:pPr>
        <w:pStyle w:val="FootnoteText"/>
      </w:pPr>
      <w:r>
        <w:rPr>
          <w:rStyle w:val="FootnoteReference"/>
        </w:rPr>
        <w:footnoteRef/>
      </w:r>
      <w:r>
        <w:t xml:space="preserve"> </w:t>
      </w:r>
      <w:r>
        <w:t xml:space="preserve">Jack Dougherty, “Review of ’Connecticut’s Public Schools: A History, 1650-2000’ by Christopher Collier,”</w:t>
      </w:r>
      <w:r>
        <w:t xml:space="preserve"> </w:t>
      </w:r>
      <w:r>
        <w:rPr>
          <w:i/>
        </w:rPr>
        <w:t xml:space="preserve">Connecticut History</w:t>
      </w:r>
      <w:r>
        <w:t xml:space="preserve"> </w:t>
      </w:r>
      <w:r>
        <w:t xml:space="preserve">50, no. 1 (2011): 120–22,</w:t>
      </w:r>
      <w:r>
        <w:t xml:space="preserve"> </w:t>
      </w:r>
      <w:hyperlink r:id="rId30">
        <w:r>
          <w:rPr>
            <w:rStyle w:val="Hyperlink"/>
          </w:rPr>
          <w:t xml:space="preserve">http://digitalrepository.trincoll.edu/cssp_papers/41</w:t>
        </w:r>
      </w:hyperlink>
      <w:r>
        <w:t xml:space="preserve">.</w:t>
      </w:r>
    </w:p>
  </w:footnote>
  <w:footnote w:id="31">
    <w:p>
      <w:pPr>
        <w:pStyle w:val="FootnoteText"/>
      </w:pPr>
      <w:r>
        <w:rPr>
          <w:rStyle w:val="FootnoteReference"/>
        </w:rPr>
        <w:footnoteRef/>
      </w:r>
      <w:r>
        <w:t xml:space="preserve"> </w:t>
      </w:r>
      <w:r>
        <w:t xml:space="preserve">Jack Dougherty, “Conflicting Questions: Why Historians and Policymakers Miscommunicate on Urban Education,” in</w:t>
      </w:r>
      <w:r>
        <w:t xml:space="preserve"> </w:t>
      </w:r>
      <w:r>
        <w:rPr>
          <w:i/>
        </w:rPr>
        <w:t xml:space="preserve">Clio at the Table: Using History to Inform and Improve Education Policy</w:t>
      </w:r>
      <w:r>
        <w:t xml:space="preserve">, ed. Kenneth Wong and Robert Rothman (New York: Peter Lang, 2009), 251–62,</w:t>
      </w:r>
      <w:r>
        <w:t xml:space="preserve"> </w:t>
      </w:r>
      <w:hyperlink r:id="rId32">
        <w:r>
          <w:rPr>
            <w:rStyle w:val="Hyperlink"/>
          </w:rPr>
          <w:t xml:space="preserve">http://digitalrepository.trincoll.edu/cssp_papers/4/</w:t>
        </w:r>
      </w:hyperlink>
      <w:r>
        <w:t xml:space="preserve">.</w:t>
      </w:r>
    </w:p>
  </w:footnote>
  <w:footnote w:id="33">
    <w:p>
      <w:pPr>
        <w:pStyle w:val="FootnoteText"/>
      </w:pPr>
      <w:r>
        <w:rPr>
          <w:rStyle w:val="FootnoteReference"/>
        </w:rPr>
        <w:footnoteRef/>
      </w:r>
      <w:r>
        <w:t xml:space="preserve"> </w:t>
      </w:r>
      <w:r>
        <w:t xml:space="preserve">Jack Dougherty, Jesse Wanzer, and Christina Ramsay, “Sheff V. O’Neill: Weak Desegregation Remedies and Strong Disincentives in Connecticut, 1996-2008,” in</w:t>
      </w:r>
      <w:r>
        <w:t xml:space="preserve"> </w:t>
      </w:r>
      <w:r>
        <w:rPr>
          <w:i/>
        </w:rPr>
        <w:t xml:space="preserve">From the Courtroom to the Classroom: The Shifting Landscape of School Desegregation</w:t>
      </w:r>
      <w:r>
        <w:t xml:space="preserve">, ed. Claire Smrekar and Ellen Goldring (Cambridge, MA: Harvard Education Press, 2009), 103–27,</w:t>
      </w:r>
      <w:r>
        <w:t xml:space="preserve"> </w:t>
      </w:r>
      <w:hyperlink r:id="rId34">
        <w:r>
          <w:rPr>
            <w:rStyle w:val="Hyperlink"/>
          </w:rPr>
          <w:t xml:space="preserve">http://digitalrepository.trincoll.edu/cssp_papers/3/</w:t>
        </w:r>
      </w:hyperlink>
      <w:r>
        <w:t xml:space="preserve">.</w:t>
      </w:r>
    </w:p>
  </w:footnote>
  <w:footnote w:id="35">
    <w:p>
      <w:pPr>
        <w:pStyle w:val="FootnoteText"/>
      </w:pPr>
      <w:r>
        <w:rPr>
          <w:rStyle w:val="FootnoteReference"/>
        </w:rPr>
        <w:footnoteRef/>
      </w:r>
      <w:r>
        <w:t xml:space="preserve"> </w:t>
      </w:r>
      <w:r>
        <w:t xml:space="preserve">Jacqueline Rabe Thomas, “CT School Funding Overpays Wealthy Towns, Underpays Needier, Critics Say,”</w:t>
      </w:r>
      <w:r>
        <w:t xml:space="preserve"> </w:t>
      </w:r>
      <w:r>
        <w:rPr>
          <w:i/>
        </w:rPr>
        <w:t xml:space="preserve">The CT Mirror</w:t>
      </w:r>
      <w:r>
        <w:t xml:space="preserve">, March 2015,</w:t>
      </w:r>
      <w:r>
        <w:t xml:space="preserve"> </w:t>
      </w:r>
      <w:hyperlink r:id="rId36">
        <w:r>
          <w:rPr>
            <w:rStyle w:val="Hyperlink"/>
          </w:rPr>
          <w:t xml:space="preserve">http://ctmirror.org/2015/03/04/connecticut-school-funding-plan-overpays-wealthy-towns-underpays-neediest-critics-say/</w:t>
        </w:r>
      </w:hyperlink>
      <w:r>
        <w:t xml:space="preserve">.</w:t>
      </w:r>
    </w:p>
  </w:footnote>
  <w:footnote w:id="37">
    <w:p>
      <w:pPr>
        <w:pStyle w:val="FootnoteText"/>
      </w:pPr>
      <w:r>
        <w:rPr>
          <w:rStyle w:val="FootnoteReference"/>
        </w:rPr>
        <w:footnoteRef/>
      </w:r>
      <w:r>
        <w:t xml:space="preserve"> </w:t>
      </w:r>
      <w:r>
        <w:t xml:space="preserve">Vanessa De La Torre, “Achieve Hartford! Appoints New Executive Director,”</w:t>
      </w:r>
      <w:r>
        <w:t xml:space="preserve"> </w:t>
      </w:r>
      <w:r>
        <w:rPr>
          <w:i/>
        </w:rPr>
        <w:t xml:space="preserve">Courant.com</w:t>
      </w:r>
      <w:r>
        <w:t xml:space="preserve">, February 2012,</w:t>
      </w:r>
      <w:r>
        <w:t xml:space="preserve"> </w:t>
      </w:r>
      <w:hyperlink r:id="rId38">
        <w:r>
          <w:rPr>
            <w:rStyle w:val="Hyperlink"/>
          </w:rPr>
          <w:t xml:space="preserve">http://www.courant.com/community/hartford/hc-achieve-hartford-0204-20120203,0,237944.story</w:t>
        </w:r>
      </w:hyperlink>
      <w:r>
        <w:t xml:space="preserve">.</w:t>
      </w:r>
    </w:p>
  </w:footnote>
  <w:footnote w:id="39">
    <w:p>
      <w:pPr>
        <w:pStyle w:val="FootnoteText"/>
      </w:pPr>
      <w:r>
        <w:rPr>
          <w:rStyle w:val="FootnoteReference"/>
        </w:rPr>
        <w:footnoteRef/>
      </w:r>
      <w:r>
        <w:t xml:space="preserve"> </w:t>
      </w:r>
      <w:r>
        <w:t xml:space="preserve">Amy Stuart Wells et al., “Boundary Crossing for Diversity, Equity, and Achievement: Interdistrict School Desegregation and Educational Opportunity” (Cambridge MA: Charles Hamilton Houston Institute for Race and Justice, November 2009),</w:t>
      </w:r>
      <w:r>
        <w:t xml:space="preserve"> </w:t>
      </w:r>
      <w:hyperlink r:id="rId40">
        <w:r>
          <w:rPr>
            <w:rStyle w:val="Hyperlink"/>
          </w:rPr>
          <w:t xml:space="preserve">http://charleshamiltonhouston.org/assets/documents/publications/Wells_BoundaryCrossing.pdf</w:t>
        </w:r>
      </w:hyperlink>
      <w:r>
        <w:t xml:space="preserve">.</w:t>
      </w:r>
    </w:p>
  </w:footnote>
  <w:footnote w:id="41">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2">
    <w:p>
      <w:pPr>
        <w:pStyle w:val="FootnoteText"/>
      </w:pPr>
      <w:r>
        <w:rPr>
          <w:rStyle w:val="FootnoteReference"/>
        </w:rPr>
        <w:footnoteRef/>
      </w:r>
      <w:r>
        <w:t xml:space="preserve"> </w:t>
      </w:r>
      <w:r>
        <w:t xml:space="preserve">Dougherty, “Conflicting Questions.”</w:t>
      </w:r>
    </w:p>
  </w:footnote>
  <w:footnote w:id="44">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45">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46">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47">
    <w:p>
      <w:pPr>
        <w:pStyle w:val="FootnoteText"/>
      </w:pPr>
      <w:r>
        <w:rPr>
          <w:rStyle w:val="FootnoteReference"/>
        </w:rPr>
        <w:footnoteRef/>
      </w:r>
      <w:r>
        <w:t xml:space="preserve"> </w:t>
      </w:r>
      <w:r>
        <w:t xml:space="preserve">Dougherty, “Review of ’Connecticut’s Public Schools.”</w:t>
      </w:r>
    </w:p>
  </w:footnote>
  <w:footnote w:id="48">
    <w:p>
      <w:pPr>
        <w:pStyle w:val="FootnoteText"/>
      </w:pPr>
      <w:r>
        <w:rPr>
          <w:rStyle w:val="FootnoteReference"/>
        </w:rPr>
        <w:footnoteRef/>
      </w:r>
      <w:r>
        <w:t xml:space="preserve"> </w:t>
      </w:r>
      <w:r>
        <w:t xml:space="preserve">Dougherty, “Conflicting Questions.”</w:t>
      </w:r>
    </w:p>
  </w:footnote>
  <w:footnote w:id="49">
    <w:p>
      <w:pPr>
        <w:pStyle w:val="FootnoteText"/>
      </w:pPr>
      <w:r>
        <w:rPr>
          <w:rStyle w:val="FootnoteReference"/>
        </w:rPr>
        <w:footnoteRef/>
      </w:r>
      <w:r>
        <w:t xml:space="preserve"> </w:t>
      </w:r>
      <w:r>
        <w:t xml:space="preserve">Dougherty, Wanzer, and Ramsay, “Sheff V. O’Neill.”</w:t>
      </w:r>
    </w:p>
  </w:footnote>
  <w:footnote w:id="50">
    <w:p>
      <w:pPr>
        <w:pStyle w:val="FootnoteText"/>
      </w:pPr>
      <w:r>
        <w:rPr>
          <w:rStyle w:val="FootnoteReference"/>
        </w:rPr>
        <w:footnoteRef/>
      </w:r>
      <w:r>
        <w:t xml:space="preserve"> </w:t>
      </w:r>
      <w:r>
        <w:t xml:space="preserve">Jack Dougherty, “Bridging the Gap Between Urban, Suburban, and Educational History,” in</w:t>
      </w:r>
      <w:r>
        <w:t xml:space="preserve"> </w:t>
      </w:r>
      <w:r>
        <w:rPr>
          <w:i/>
        </w:rPr>
        <w:t xml:space="preserve">Rethinking the History of American Education</w:t>
      </w:r>
      <w:r>
        <w:t xml:space="preserve">, ed. William Reese and John Rury (New York: Palgrave MacMillan Press, 2007), 245–59,</w:t>
      </w:r>
      <w:r>
        <w:t xml:space="preserve"> </w:t>
      </w:r>
      <w:hyperlink r:id="rId51">
        <w:r>
          <w:rPr>
            <w:rStyle w:val="Hyperlink"/>
          </w:rPr>
          <w:t xml:space="preserve">http://digitalrepository.trincoll.edu/cssp_papers/5/</w:t>
        </w:r>
      </w:hyperlink>
      <w:r>
        <w:t xml:space="preserve">.</w:t>
      </w:r>
    </w:p>
  </w:footnote>
  <w:footnote w:id="52">
    <w:p>
      <w:pPr>
        <w:pStyle w:val="FootnoteText"/>
      </w:pPr>
      <w:r>
        <w:rPr>
          <w:rStyle w:val="FootnoteReference"/>
        </w:rPr>
        <w:footnoteRef/>
      </w:r>
      <w:r>
        <w:t xml:space="preserve"> </w:t>
      </w:r>
      <w:r>
        <w:t xml:space="preserve">Jack Dougherty et al., “School Choice in Suburbia: Test Scores, Race, and Housing Markets,”</w:t>
      </w:r>
      <w:r>
        <w:t xml:space="preserve"> </w:t>
      </w:r>
      <w:r>
        <w:rPr>
          <w:i/>
        </w:rPr>
        <w:t xml:space="preserve">American Journal of Education</w:t>
      </w:r>
      <w:r>
        <w:t xml:space="preserve"> </w:t>
      </w:r>
      <w:r>
        <w:t xml:space="preserve">115, no. 4 (August 2009): 523–48,</w:t>
      </w:r>
      <w:r>
        <w:t xml:space="preserve"> </w:t>
      </w:r>
      <w:hyperlink r:id="rId53">
        <w:r>
          <w:rPr>
            <w:rStyle w:val="Hyperlink"/>
          </w:rPr>
          <w:t xml:space="preserve">http://digitalrepository.trincoll.edu/cssp_papers/1</w:t>
        </w:r>
      </w:hyperlink>
      <w:r>
        <w:t xml:space="preserve">.</w:t>
      </w:r>
    </w:p>
  </w:footnote>
  <w:footnote w:id="54">
    <w:p>
      <w:pPr>
        <w:pStyle w:val="FootnoteText"/>
      </w:pPr>
      <w:r>
        <w:rPr>
          <w:rStyle w:val="FootnoteReference"/>
        </w:rPr>
        <w:footnoteRef/>
      </w:r>
      <w:r>
        <w:t xml:space="preserve"> </w:t>
      </w:r>
      <w:r>
        <w:t xml:space="preserve">Wells et al., “Boundary Crossing for Diversity, Equity, and Achievement.”</w:t>
      </w:r>
    </w:p>
  </w:footnote>
  <w:footnote w:id="55">
    <w:p>
      <w:pPr>
        <w:pStyle w:val="FootnoteText"/>
      </w:pPr>
      <w:r>
        <w:rPr>
          <w:rStyle w:val="FootnoteReference"/>
        </w:rPr>
        <w:footnoteRef/>
      </w:r>
      <w:r>
        <w:t xml:space="preserve"> </w:t>
      </w:r>
      <w:r>
        <w:t xml:space="preserve">Mark Berends, Marisa Cannata, and Ellen Goldring, eds.,</w:t>
      </w:r>
      <w:r>
        <w:t xml:space="preserve"> </w:t>
      </w:r>
      <w:r>
        <w:rPr>
          <w:i/>
        </w:rPr>
        <w:t xml:space="preserve">School Choice and School Improvement</w:t>
      </w:r>
      <w:r>
        <w:t xml:space="preserve"> </w:t>
      </w:r>
      <w:r>
        <w:t xml:space="preserve">(Cambridge Mass.: Harvard Education Press, 2011),</w:t>
      </w:r>
      <w:r>
        <w:t xml:space="preserve"> </w:t>
      </w:r>
      <w:hyperlink r:id="rId56">
        <w:r>
          <w:rPr>
            <w:rStyle w:val="Hyperlink"/>
          </w:rPr>
          <w:t xml:space="preserve">http://www.hepg.org/hep-home/books/school-choice-and-school-improvement</w:t>
        </w:r>
      </w:hyperlink>
      <w:r>
        <w:t xml:space="preserve">.</w:t>
      </w:r>
    </w:p>
  </w:footnote>
  <w:footnote w:id="58">
    <w:p>
      <w:pPr>
        <w:pStyle w:val="FootnoteText"/>
      </w:pPr>
      <w:r>
        <w:rPr>
          <w:rStyle w:val="FootnoteReference"/>
        </w:rPr>
        <w:footnoteRef/>
      </w:r>
      <w:r>
        <w:t xml:space="preserve"> </w:t>
      </w:r>
      <w:r>
        <w:t xml:space="preserve">Pennington, Steele, and Dougherty, “A Political History of School Finance Reform in Metropolitan Hartford, Connecticut, 1945-2005.”</w:t>
      </w:r>
    </w:p>
  </w:footnote>
  <w:footnote w:id="59">
    <w:p>
      <w:pPr>
        <w:pStyle w:val="FootnoteText"/>
      </w:pPr>
      <w:r>
        <w:rPr>
          <w:rStyle w:val="FootnoteReference"/>
        </w:rPr>
        <w:footnoteRef/>
      </w:r>
      <w:r>
        <w:t xml:space="preserve"> </w:t>
      </w:r>
      <w:r>
        <w:t xml:space="preserve">Dougherty, “Review of ’Connecticut’s Public Schools.”</w:t>
      </w:r>
    </w:p>
  </w:footnote>
  <w:footnote w:id="60">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1">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 w:id="63">
    <w:p>
      <w:pPr>
        <w:pStyle w:val="FootnoteText"/>
      </w:pPr>
      <w:r>
        <w:rPr>
          <w:rStyle w:val="FootnoteReference"/>
        </w:rPr>
        <w:footnoteRef/>
      </w:r>
      <w:r>
        <w:t xml:space="preserve"> </w:t>
      </w:r>
      <w:r>
        <w:t xml:space="preserve">Tegeler,</w:t>
      </w:r>
      <w:r>
        <w:t xml:space="preserve"> </w:t>
      </w:r>
      <w:r>
        <w:rPr>
          <w:i/>
        </w:rPr>
        <w:t xml:space="preserve">Finding Common Ground</w:t>
      </w:r>
      <w:r>
        <w:t xml:space="preserve">.</w:t>
      </w:r>
    </w:p>
  </w:footnote>
  <w:footnote w:id="64">
    <w:p>
      <w:pPr>
        <w:pStyle w:val="FootnoteText"/>
      </w:pPr>
      <w:r>
        <w:rPr>
          <w:rStyle w:val="FootnoteReference"/>
        </w:rPr>
        <w:footnoteRef/>
      </w:r>
      <w:r>
        <w:t xml:space="preserve"> </w:t>
      </w:r>
      <w:r>
        <w:t xml:space="preserve">Whitten,</w:t>
      </w:r>
      <w:r>
        <w:t xml:space="preserve"> </w:t>
      </w:r>
      <w:r>
        <w:rPr>
          <w:i/>
        </w:rPr>
        <w:t xml:space="preserve">West Hartford Zoning</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_rels/footnotes.xml.rels><?xml version="1.0" encoding="UTF-8"?>
<Relationships xmlns="http://schemas.openxmlformats.org/package/2006/relationships"><Relationship Type="http://schemas.openxmlformats.org/officeDocument/2006/relationships/hyperlink" Id="rId40" Target="http://charleshamiltonhouston.org/assets/documents/publications/Wells_BoundaryCrossing.pdf" TargetMode="External" /><Relationship Type="http://schemas.openxmlformats.org/officeDocument/2006/relationships/hyperlink" Id="rId36" Target="http://ctmirror.org/2015/03/04/connecticut-school-funding-plan-overpays-wealthy-towns-underpays-neediest-critics-say/" TargetMode="External" /><Relationship Type="http://schemas.openxmlformats.org/officeDocument/2006/relationships/hyperlink" Id="rId53" Target="http://digitalrepository.trincoll.edu/cssp_papers/1" TargetMode="External" /><Relationship Type="http://schemas.openxmlformats.org/officeDocument/2006/relationships/hyperlink" Id="rId28" Target="http://digitalrepository.trincoll.edu/cssp_papers/29/" TargetMode="External" /><Relationship Type="http://schemas.openxmlformats.org/officeDocument/2006/relationships/hyperlink" Id="rId34" Target="http://digitalrepository.trincoll.edu/cssp_papers/3/" TargetMode="External" /><Relationship Type="http://schemas.openxmlformats.org/officeDocument/2006/relationships/hyperlink" Id="rId32" Target="http://digitalrepository.trincoll.edu/cssp_papers/4/" TargetMode="External" /><Relationship Type="http://schemas.openxmlformats.org/officeDocument/2006/relationships/hyperlink" Id="rId30" Target="http://digitalrepository.trincoll.edu/cssp_papers/41" TargetMode="External" /><Relationship Type="http://schemas.openxmlformats.org/officeDocument/2006/relationships/hyperlink" Id="rId51" Target="http://digitalrepository.trincoll.edu/cssp_papers/5/" TargetMode="External" /><Relationship Type="http://schemas.openxmlformats.org/officeDocument/2006/relationships/hyperlink" Id="rId26" Target="http://magic.lib.uconn.edu/magic_2/raster/37840/hdimg_37840_155_1924_unkn_CSL_1_p.pdf" TargetMode="External" /><Relationship Type="http://schemas.openxmlformats.org/officeDocument/2006/relationships/hyperlink" Id="rId38" Target="http://www.courant.com/community/hartford/hc-achieve-hartford-0204-20120203,0,237944.story" TargetMode="External" /><Relationship Type="http://schemas.openxmlformats.org/officeDocument/2006/relationships/hyperlink" Id="rId56" Target="http://www.hepg.org/hep-home/books/school-choice-and-school-improvement" TargetMode="External" /><Relationship Type="http://schemas.openxmlformats.org/officeDocument/2006/relationships/hyperlink" Id="rId24" Target="http://www.prrac.org/pubs.php" TargetMode="External" /><Relationship Type="http://schemas.openxmlformats.org/officeDocument/2006/relationships/hyperlink" Id="rId21" Target="https://github.com/jackdougherty/bookdown-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test</dc:title>
  <dc:creator>Jack Dougherty; and contributors</dc:creator>
  <cp:keywords/>
  <dcterms:created xsi:type="dcterms:W3CDTF">2018-12-09T20:35:27Z</dcterms:created>
  <dcterms:modified xsi:type="dcterms:W3CDTF">2018-12-09T20:35:27Z</dcterms:modified>
</cp:coreProperties>
</file>