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ravel-api-market-research-report"/>
      <w:r>
        <w:t xml:space="preserve">Travel API &amp; Market Research Report</w:t>
      </w:r>
      <w:bookmarkEnd w:id="20"/>
    </w:p>
    <w:p>
      <w:pPr>
        <w:pStyle w:val="FirstParagraph"/>
      </w:pPr>
      <w:r>
        <w:rPr>
          <w:b/>
        </w:rPr>
        <w:t xml:space="preserve">Prepared for:</w:t>
      </w:r>
      <w:r>
        <w:t xml:space="preserve"> </w:t>
      </w:r>
      <w:r>
        <w:t xml:space="preserve">Lite-Stack</w:t>
      </w:r>
      <w:r>
        <w:t xml:space="preserve"> </w:t>
      </w:r>
      <w:r>
        <w:rPr>
          <w:b/>
        </w:rPr>
        <w:t xml:space="preserve">Date:</w:t>
      </w:r>
      <w:r>
        <w:t xml:space="preserve"> </w:t>
      </w:r>
      <w:r>
        <w:t xml:space="preserve">March 2026</w:t>
      </w:r>
      <w:r>
        <w:t xml:space="preserve"> </w:t>
      </w:r>
      <w:r>
        <w:rPr>
          <w:b/>
        </w:rPr>
        <w:t xml:space="preserve">Status:</w:t>
      </w:r>
      <w:r>
        <w:t xml:space="preserve"> </w:t>
      </w:r>
      <w:r>
        <w:t xml:space="preserve">Research — input to stack and thesis decisions</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LiteAPI is a suitable starting point for the commerce layer. It is the lowest-friction path from zero to live hotel search, and its provider-gateway abstraction — already specified in the stack design — means the commitment is replaceable without a rewrite. However, two findings from this research materially affect the product thesis and should be resolved before significant stack work proceeds.</w:t>
      </w:r>
    </w:p>
    <w:p>
      <w:pPr>
        <w:pStyle w:val="BodyText"/>
      </w:pPr>
      <w:r>
        <w:t xml:space="preserve">First,</w:t>
      </w:r>
      <w:r>
        <w:t xml:space="preserve"> </w:t>
      </w:r>
      <w:r>
        <w:rPr>
          <w:b/>
        </w:rPr>
        <w:t xml:space="preserve">rate parity rules prevent below-SSP prices from appearing on public pages</w:t>
      </w:r>
      <w:r>
        <w:t xml:space="preserve">. Any rate below the hotel’s Suggested Selling Price must sit behind a login wall or closed user group. This directly constrains the programmatic SEO hypothesis as currently framed: public SEO pages cannot show competitive pricing. The page strategy must either pivot to showing SSP prices (competing on content and intent quality, not price) or use SEO as top-of-funnel to drive membership sign-up, with discounted rates revealed only after login.</w:t>
      </w:r>
    </w:p>
    <w:p>
      <w:pPr>
        <w:pStyle w:val="BodyText"/>
      </w:pPr>
      <w:r>
        <w:t xml:space="preserve">Second,</w:t>
      </w:r>
      <w:r>
        <w:t xml:space="preserve"> </w:t>
      </w:r>
      <w:r>
        <w:rPr>
          <w:b/>
        </w:rPr>
        <w:t xml:space="preserve">the actual margin spread available from LiteAPI has not been tested</w:t>
      </w:r>
      <w:r>
        <w:t xml:space="preserve">. LiteAPI markets up to 20% margins by</w:t>
      </w:r>
      <w:r>
        <w:t xml:space="preserve"> </w:t>
      </w:r>
      <w:r>
        <w:t xml:space="preserve">“</w:t>
      </w:r>
      <w:r>
        <w:t xml:space="preserve">cutting intermediaries,</w:t>
      </w:r>
      <w:r>
        <w:t xml:space="preserve">”</w:t>
      </w:r>
      <w:r>
        <w:t xml:space="preserve"> </w:t>
      </w:r>
      <w:r>
        <w:t xml:space="preserve">but the real spread between their net rates and what public OTAs show in specific target markets is unknown. This is a one-day test that produces the most important missing data point in the plan, and it should happen before architecture deepens.</w:t>
      </w:r>
    </w:p>
    <w:p>
      <w:pPr>
        <w:pStyle w:val="BodyText"/>
      </w:pPr>
      <w:r>
        <w:t xml:space="preserve">The market itself is real and large. The last-minute luxury segment is structurally attractive: 40% of hotel bookings happen within 48 hours of check-in, luxury hotels are specifically more willing to discount on less-transparent channels, and HotelTonight proved the model works at scale (acquired by Airbnb in 2019 for approximately $465M). The space is less crowded today than in 2019. The opportunity is genuine — but the right product architecture depends on answers only a live rate test can provide.</w:t>
      </w:r>
    </w:p>
    <w:p>
      <w:r>
        <w:pict>
          <v:rect style="width:0;height:1.5pt" o:hralign="center" o:hrstd="t" o:hr="t"/>
        </w:pict>
      </w:r>
    </w:p>
    <w:p>
      <w:pPr>
        <w:pStyle w:val="Heading2"/>
      </w:pPr>
      <w:bookmarkStart w:id="22" w:name="liteapi-full-assessment"/>
      <w:r>
        <w:t xml:space="preserve">1. LiteAPI: Full Assessment</w:t>
      </w:r>
      <w:bookmarkEnd w:id="22"/>
    </w:p>
    <w:p>
      <w:pPr>
        <w:pStyle w:val="Heading3"/>
      </w:pPr>
      <w:bookmarkStart w:id="23" w:name="what-it-is"/>
      <w:r>
        <w:t xml:space="preserve">What It Is</w:t>
      </w:r>
      <w:bookmarkEnd w:id="23"/>
    </w:p>
    <w:p>
      <w:pPr>
        <w:pStyle w:val="FirstParagraph"/>
      </w:pPr>
      <w:r>
        <w:t xml:space="preserve">LiteAPI (by Nuitée) is a developer-first hotel booking API aggregator. It sits above a mix of bed bank and wholesale inventory, exposing clean REST endpoints for hotel search, availability, rates, booking, and management. As of 2026 it covers 2M+ properties worldwide.</w:t>
      </w:r>
    </w:p>
    <w:p>
      <w:pPr>
        <w:pStyle w:val="BodyText"/>
      </w:pPr>
      <w:r>
        <w:rPr>
          <w:b/>
        </w:rPr>
        <w:t xml:space="preserve">Access model:</w:t>
      </w:r>
      <w:r>
        <w:t xml:space="preserve"> </w:t>
      </w:r>
      <w:r>
        <w:t xml:space="preserve">Free to register. Free core endpoints. No minimum volume or commercial agreement required to begin. Node.js, Python, Go, Swift, and Android SDKs are available. Integration to first live rate query is achievable the same day.</w:t>
      </w:r>
    </w:p>
    <w:p>
      <w:pPr>
        <w:pStyle w:val="BodyText"/>
      </w:pPr>
      <w:r>
        <w:rPr>
          <w:b/>
        </w:rPr>
        <w:t xml:space="preserve">Margin model:</w:t>
      </w:r>
      <w:r>
        <w:t xml:space="preserve"> </w:t>
      </w:r>
      <w:r>
        <w:t xml:space="preserve">You receive net rates from LiteAPI and set a</w:t>
      </w:r>
      <w:r>
        <w:t xml:space="preserve"> </w:t>
      </w:r>
      <w:r>
        <w:rPr>
          <w:rStyle w:val="VerbatimChar"/>
        </w:rPr>
        <w:t xml:space="preserve">margin</w:t>
      </w:r>
      <w:r>
        <w:t xml:space="preserve"> </w:t>
      </w:r>
      <w:r>
        <w:t xml:space="preserve">parameter (as a decimal percentage) on each rates request. At</w:t>
      </w:r>
      <w:r>
        <w:t xml:space="preserve"> </w:t>
      </w:r>
      <w:r>
        <w:rPr>
          <w:rStyle w:val="VerbatimChar"/>
        </w:rPr>
        <w:t xml:space="preserve">margin=0</w:t>
      </w:r>
      <w:r>
        <w:t xml:space="preserve"> </w:t>
      </w:r>
      <w:r>
        <w:t xml:space="preserve">you are the merchant of record at net cost. At</w:t>
      </w:r>
      <w:r>
        <w:t xml:space="preserve"> </w:t>
      </w:r>
      <w:r>
        <w:rPr>
          <w:rStyle w:val="VerbatimChar"/>
        </w:rPr>
        <w:t xml:space="preserve">margin=1.0</w:t>
      </w:r>
      <w:r>
        <w:t xml:space="preserve"> </w:t>
      </w:r>
      <w:r>
        <w:t xml:space="preserve">(or whatever SSP delta exists) you earn the full retail spread. You can set any value between. The enterprise tier adds Dynamic Markup — real-time competitor-aware margin adjustment — but this is not available on the standard tier.</w:t>
      </w:r>
    </w:p>
    <w:p>
      <w:pPr>
        <w:pStyle w:val="BodyText"/>
      </w:pPr>
      <w:r>
        <w:rPr>
          <w:b/>
        </w:rPr>
        <w:t xml:space="preserve">2025/2026 notable additions:</w:t>
      </w:r>
      <w:r>
        <w:t xml:space="preserve"> </w:t>
      </w:r>
      <w:r>
        <w:t xml:space="preserve">Semantic and natural-language hotel search (intent-based, not just attribute-based), image-based room search (find rooms matching a visual description or aesthetic), improved API audit logs (full request/response inspection in the dashboard), team management with role-based access, and updated OpenAPI specs compatible with AI coding tools.</w:t>
      </w:r>
    </w:p>
    <w:p>
      <w:pPr>
        <w:pStyle w:val="Heading3"/>
      </w:pPr>
      <w:bookmarkStart w:id="24" w:name="strengths"/>
      <w:r>
        <w:t xml:space="preserve">Strengths</w:t>
      </w:r>
      <w:bookmarkEnd w:id="24"/>
    </w:p>
    <w:p>
      <w:pPr>
        <w:numPr>
          <w:ilvl w:val="0"/>
          <w:numId w:val="1001"/>
        </w:numPr>
        <w:pStyle w:val="Compact"/>
      </w:pPr>
      <w:r>
        <w:rPr>
          <w:b/>
        </w:rPr>
        <w:t xml:space="preserve">Lowest barrier to first experiment.</w:t>
      </w:r>
      <w:r>
        <w:t xml:space="preserve"> </w:t>
      </w:r>
      <w:r>
        <w:t xml:space="preserve">No paperwork, no account manager, no certification process. A developer with a few hours can reach live rate data.</w:t>
      </w:r>
    </w:p>
    <w:p>
      <w:pPr>
        <w:numPr>
          <w:ilvl w:val="0"/>
          <w:numId w:val="1001"/>
        </w:numPr>
        <w:pStyle w:val="Compact"/>
      </w:pPr>
      <w:r>
        <w:rPr>
          <w:b/>
        </w:rPr>
        <w:t xml:space="preserve">SDKs in five languages.</w:t>
      </w:r>
      <w:r>
        <w:t xml:space="preserve"> </w:t>
      </w:r>
      <w:r>
        <w:t xml:space="preserve">Node.js is the most relevant given the Next.js architecture in the stack design.</w:t>
      </w:r>
    </w:p>
    <w:p>
      <w:pPr>
        <w:numPr>
          <w:ilvl w:val="0"/>
          <w:numId w:val="1001"/>
        </w:numPr>
        <w:pStyle w:val="Compact"/>
      </w:pPr>
      <w:r>
        <w:rPr>
          <w:b/>
        </w:rPr>
        <w:t xml:space="preserve">2M+ property coverage.</w:t>
      </w:r>
      <w:r>
        <w:t xml:space="preserve"> </w:t>
      </w:r>
      <w:r>
        <w:t xml:space="preserve">More than sufficient for the initial target markets being considered.</w:t>
      </w:r>
    </w:p>
    <w:p>
      <w:pPr>
        <w:numPr>
          <w:ilvl w:val="0"/>
          <w:numId w:val="1001"/>
        </w:numPr>
        <w:pStyle w:val="Compact"/>
      </w:pPr>
      <w:r>
        <w:rPr>
          <w:b/>
        </w:rPr>
        <w:t xml:space="preserve">Semantic search.</w:t>
      </w:r>
      <w:r>
        <w:t xml:space="preserve"> </w:t>
      </w:r>
      <w:r>
        <w:t xml:space="preserve">The 2025 semantic/AI search capabilities directly support the</w:t>
      </w:r>
      <w:r>
        <w:t xml:space="preserve"> </w:t>
      </w:r>
      <w:r>
        <w:t xml:space="preserve">“</w:t>
      </w:r>
      <w:r>
        <w:t xml:space="preserve">find hotels near something that matters</w:t>
      </w:r>
      <w:r>
        <w:t xml:space="preserve">”</w:t>
      </w:r>
      <w:r>
        <w:t xml:space="preserve"> </w:t>
      </w:r>
      <w:r>
        <w:t xml:space="preserve">proximity hypothesis — this is a functional API feature, not just a concept.</w:t>
      </w:r>
    </w:p>
    <w:p>
      <w:pPr>
        <w:numPr>
          <w:ilvl w:val="0"/>
          <w:numId w:val="1001"/>
        </w:numPr>
        <w:pStyle w:val="Compact"/>
      </w:pPr>
      <w:r>
        <w:rPr>
          <w:b/>
        </w:rPr>
        <w:t xml:space="preserve">Provider gateway alignment.</w:t>
      </w:r>
      <w:r>
        <w:t xml:space="preserve"> </w:t>
      </w:r>
      <w:r>
        <w:t xml:space="preserve">The stack design (Report 5) already specifies a provider-gateway abstraction. LiteAPI plugs cleanly into Layer 6 as a first provider, with full replaceability if the thesis changes.</w:t>
      </w:r>
    </w:p>
    <w:p>
      <w:pPr>
        <w:numPr>
          <w:ilvl w:val="0"/>
          <w:numId w:val="1001"/>
        </w:numPr>
        <w:pStyle w:val="Compact"/>
      </w:pPr>
      <w:r>
        <w:rPr>
          <w:b/>
        </w:rPr>
        <w:t xml:space="preserve">CUG support is native.</w:t>
      </w:r>
      <w:r>
        <w:t xml:space="preserve"> </w:t>
      </w:r>
      <w:r>
        <w:t xml:space="preserve">Closed User Group (member-gated) discounted rates are supported out of the box. This is architecturally important (see rate parity section below).</w:t>
      </w:r>
    </w:p>
    <w:p>
      <w:pPr>
        <w:pStyle w:val="Heading3"/>
      </w:pPr>
      <w:bookmarkStart w:id="25" w:name="critical-constraint-rate-parity"/>
      <w:r>
        <w:t xml:space="preserve">Critical Constraint: Rate Parity</w:t>
      </w:r>
      <w:bookmarkEnd w:id="25"/>
    </w:p>
    <w:p>
      <w:pPr>
        <w:pStyle w:val="FirstParagraph"/>
      </w:pPr>
      <w:r>
        <w:rPr>
          <w:b/>
        </w:rPr>
        <w:t xml:space="preserve">This is the most important thing to understand before building the SEO layer.</w:t>
      </w:r>
    </w:p>
    <w:p>
      <w:pPr>
        <w:pStyle w:val="BodyText"/>
      </w:pPr>
      <w:r>
        <w:t xml:space="preserve">If a room is offered below the SSP (Suggested Selling Price), it must not be publicly accessible. It must be gated behind a login, a membership, an app, or another form of closed user group. Offering sub-SSP rates on public, indexable web pages constitutes a rate parity violation and risks loss of inventory access.</w:t>
      </w:r>
    </w:p>
    <w:p>
      <w:pPr>
        <w:pStyle w:val="BodyText"/>
      </w:pPr>
      <w:r>
        <w:t xml:space="preserve">This constraint has a direct structural implication for the product:</w:t>
      </w:r>
    </w:p>
    <w:p>
      <w:pPr>
        <w:pStyle w:val="BodyText"/>
      </w:pPr>
      <w:r>
        <w:rPr>
          <w:b/>
        </w:rPr>
        <w:t xml:space="preserve">Option A — Public pages, SSP pricing.</w:t>
      </w:r>
      <w:r>
        <w:t xml:space="preserve"> </w:t>
      </w:r>
      <w:r>
        <w:t xml:space="preserve">SEO pages are public and indexable but show retail (SSP) prices. No pricing advantage over Booking.com or Hotels.com. The value proposition must come from something else: better search intent matching, editorial quality, proximity narrative, urgency framing, or user experience. This is a content and positioning play, not a price play.</w:t>
      </w:r>
    </w:p>
    <w:p>
      <w:pPr>
        <w:pStyle w:val="BodyText"/>
      </w:pPr>
      <w:r>
        <w:rPr>
          <w:b/>
        </w:rPr>
        <w:t xml:space="preserve">Option B — SEO to membership funnel (CUG model).</w:t>
      </w:r>
      <w:r>
        <w:t xml:space="preserve"> </w:t>
      </w:r>
      <w:r>
        <w:t xml:space="preserve">Public SEO pages serve as top-of-funnel discovery. Pages do not show prices or show a</w:t>
      </w:r>
      <w:r>
        <w:t xml:space="preserve"> </w:t>
      </w:r>
      <w:r>
        <w:t xml:space="preserve">“</w:t>
      </w:r>
      <w:r>
        <w:t xml:space="preserve">join to unlock member rates</w:t>
      </w:r>
      <w:r>
        <w:t xml:space="preserve">”</w:t>
      </w:r>
      <w:r>
        <w:t xml:space="preserve"> </w:t>
      </w:r>
      <w:r>
        <w:t xml:space="preserve">prompt. Users sign up; members see below-SSP rates. SEO drives acquisition; the product delivers pricing value inside a gated experience. This is structurally similar to the HotelTonight model (where the</w:t>
      </w:r>
      <w:r>
        <w:t xml:space="preserve"> </w:t>
      </w:r>
      <w:r>
        <w:t xml:space="preserve">“</w:t>
      </w:r>
      <w:r>
        <w:t xml:space="preserve">app</w:t>
      </w:r>
      <w:r>
        <w:t xml:space="preserve">”</w:t>
      </w:r>
      <w:r>
        <w:t xml:space="preserve"> </w:t>
      </w:r>
      <w:r>
        <w:t xml:space="preserve">is the CUG).</w:t>
      </w:r>
    </w:p>
    <w:p>
      <w:pPr>
        <w:pStyle w:val="BodyText"/>
      </w:pPr>
      <w:r>
        <w:t xml:space="preserve">Option B is the more commercially interesting architecture. Luxury hotels are specifically more likely to offer discounted rates on less-transparent channels — this is a documented phenomenon and is why HotelTonight was able to deliver approximately 30% savings versus public OTAs on comparable luxury last-minute stays.</w:t>
      </w:r>
    </w:p>
    <w:p>
      <w:pPr>
        <w:pStyle w:val="Heading3"/>
      </w:pPr>
      <w:bookmarkStart w:id="26" w:name="unknown-actual-margin-quality"/>
      <w:r>
        <w:t xml:space="preserve">Unknown: Actual Margin Quality</w:t>
      </w:r>
      <w:bookmarkEnd w:id="26"/>
    </w:p>
    <w:p>
      <w:pPr>
        <w:pStyle w:val="FirstParagraph"/>
      </w:pPr>
      <w:r>
        <w:t xml:space="preserve">LiteAPI’s marketing claims up to 20% margins</w:t>
      </w:r>
      <w:r>
        <w:t xml:space="preserve"> </w:t>
      </w:r>
      <w:r>
        <w:t xml:space="preserve">“</w:t>
      </w:r>
      <w:r>
        <w:t xml:space="preserve">above industry averages</w:t>
      </w:r>
      <w:r>
        <w:t xml:space="preserve">”</w:t>
      </w:r>
      <w:r>
        <w:t xml:space="preserve"> </w:t>
      </w:r>
      <w:r>
        <w:t xml:space="preserve">by cutting intermediaries. But LiteAPI is itself an aggregator sourcing from bed banks and wholesalers — it is not holding direct hotel contracts at scale. The net-to-retail spread in specific target markets is unknown. In some markets and hotel tiers, the spread may be meaningful (10-20%). In others, particularly well-traded luxury markets where multiple aggregators compete, net rates can approach retail closely.</w:t>
      </w:r>
    </w:p>
    <w:p>
      <w:pPr>
        <w:pStyle w:val="BodyText"/>
      </w:pPr>
      <w:r>
        <w:rPr>
          <w:b/>
        </w:rPr>
        <w:t xml:space="preserve">This must be tested before building.</w:t>
      </w:r>
      <w:r>
        <w:t xml:space="preserve"> </w:t>
      </w:r>
      <w:r>
        <w:t xml:space="preserve">See Section 7: Recommended Actions.</w:t>
      </w:r>
    </w:p>
    <w:p>
      <w:r>
        <w:pict>
          <v:rect style="width:0;height:1.5pt" o:hralign="center" o:hrstd="t" o:hr="t"/>
        </w:pict>
      </w:r>
    </w:p>
    <w:p>
      <w:pPr>
        <w:pStyle w:val="Heading2"/>
      </w:pPr>
      <w:bookmarkStart w:id="27" w:name="alternative-api-providers"/>
      <w:r>
        <w:t xml:space="preserve">2. Alternative API Providers</w:t>
      </w:r>
      <w:bookmarkEnd w:id="27"/>
    </w:p>
    <w:p>
      <w:pPr>
        <w:pStyle w:val="Heading3"/>
      </w:pPr>
      <w:bookmarkStart w:id="28" w:name="ratehawk"/>
      <w:r>
        <w:t xml:space="preserve">RateHawk</w:t>
      </w:r>
      <w:bookmarkEnd w:id="28"/>
    </w:p>
    <w:p>
      <w:pPr>
        <w:pStyle w:val="FirstParagraph"/>
      </w:pPr>
      <w:r>
        <w:rPr>
          <w:b/>
        </w:rPr>
        <w:t xml:space="preserve">What it is:</w:t>
      </w:r>
      <w:r>
        <w:t xml:space="preserve"> </w:t>
      </w:r>
      <w:r>
        <w:t xml:space="preserve">A B2B travel booking platform and API with 2.6M accommodations (the largest inventory by count of the providers reviewed). Owned by the Emerging Travel Group. Primarily designed for travel agents and OTAs rather than raw developer integration.</w:t>
      </w:r>
    </w:p>
    <w:p>
      <w:pPr>
        <w:pStyle w:val="BodyText"/>
      </w:pPr>
      <w:r>
        <w:rPr>
          <w:b/>
        </w:rPr>
        <w:t xml:space="preserve">Margin model:</w:t>
      </w:r>
      <w:r>
        <w:t xml:space="preserve"> </w:t>
      </w:r>
      <w:r>
        <w:t xml:space="preserve">Net rate model — partners receive net rates and control their own sell price. Multiple finance models available (net, gross, or combination), switchable via account manager.</w:t>
      </w:r>
    </w:p>
    <w:p>
      <w:pPr>
        <w:pStyle w:val="BodyText"/>
      </w:pPr>
      <w:r>
        <w:rPr>
          <w:b/>
        </w:rPr>
        <w:t xml:space="preserve">Access process:</w:t>
      </w:r>
      <w:r>
        <w:t xml:space="preserve"> </w:t>
      </w:r>
      <w:r>
        <w:t xml:space="preserve">Free registration, but requires 14-30 day certification process through a personal account manager before production access. A dedicated sandbox environment launched in Q4 2025, allowing development and testing during certification. This is a meaningful onboarding friction compared to LiteAPI.</w:t>
      </w:r>
    </w:p>
    <w:p>
      <w:pPr>
        <w:pStyle w:val="BodyText"/>
      </w:pPr>
      <w:r>
        <w:rPr>
          <w:b/>
        </w:rPr>
        <w:t xml:space="preserve">Strengths:</w:t>
      </w:r>
      <w:r>
        <w:t xml:space="preserve"> </w:t>
      </w:r>
      <w:r>
        <w:t xml:space="preserve">Genuine wholesale sourcing (more direct hotel relationships than pure aggregators), likely better margin quality than LiteAPI in well-traded markets, largest raw inventory count, content API for structured hotel data.</w:t>
      </w:r>
    </w:p>
    <w:p>
      <w:pPr>
        <w:pStyle w:val="BodyText"/>
      </w:pPr>
      <w:r>
        <w:rPr>
          <w:b/>
        </w:rPr>
        <w:t xml:space="preserve">Weaknesses:</w:t>
      </w:r>
      <w:r>
        <w:t xml:space="preserve"> </w:t>
      </w:r>
      <w:r>
        <w:t xml:space="preserve">Account manager dependency, certification timeline, less developer-friendly documentation, designed for B2B travel agents not API-first product builders.</w:t>
      </w:r>
    </w:p>
    <w:p>
      <w:pPr>
        <w:pStyle w:val="BodyText"/>
      </w:pPr>
      <w:r>
        <w:rPr>
          <w:b/>
        </w:rPr>
        <w:t xml:space="preserve">Verdict:</w:t>
      </w:r>
      <w:r>
        <w:t xml:space="preserve"> </w:t>
      </w:r>
      <w:r>
        <w:t xml:space="preserve">Register for sandbox access now. The 14-30 day certification window means starting the process immediately is wise regardless of whether RateHawk becomes the primary provider. The provider-gateway architecture makes a parallel bake-off low-cost once LiteAPI baseline is established.</w:t>
      </w:r>
    </w:p>
    <w:p>
      <w:pPr>
        <w:pStyle w:val="Heading3"/>
      </w:pPr>
      <w:bookmarkStart w:id="29" w:name="hotelbeds-hbx-group"/>
      <w:r>
        <w:t xml:space="preserve">Hotelbeds (HBX Group)</w:t>
      </w:r>
      <w:bookmarkEnd w:id="29"/>
    </w:p>
    <w:p>
      <w:pPr>
        <w:pStyle w:val="FirstParagraph"/>
      </w:pPr>
      <w:r>
        <w:rPr>
          <w:b/>
        </w:rPr>
        <w:t xml:space="preserve">What it is:</w:t>
      </w:r>
      <w:r>
        <w:t xml:space="preserve"> </w:t>
      </w:r>
      <w:r>
        <w:t xml:space="preserve">The world’s largest B2B hotel wholesaler by reputation, with 250,000 hotels across 170 countries. Notably smaller inventory count than RateHawk or LiteAPI, but specifically positioned around premium and exclusive properties.</w:t>
      </w:r>
    </w:p>
    <w:p>
      <w:pPr>
        <w:pStyle w:val="BodyText"/>
      </w:pPr>
      <w:r>
        <w:rPr>
          <w:b/>
        </w:rPr>
        <w:t xml:space="preserve">Access model:</w:t>
      </w:r>
      <w:r>
        <w:t xml:space="preserve"> </w:t>
      </w:r>
      <w:r>
        <w:t xml:space="preserve">Registration provides evaluation API keys with 50 requests/day. Commercial terms require direct negotiation with their API team. No self-serve production access.</w:t>
      </w:r>
    </w:p>
    <w:p>
      <w:pPr>
        <w:pStyle w:val="BodyText"/>
      </w:pPr>
      <w:r>
        <w:rPr>
          <w:b/>
        </w:rPr>
        <w:t xml:space="preserve">Strengths:</w:t>
      </w:r>
      <w:r>
        <w:t xml:space="preserve"> </w:t>
      </w:r>
      <w:r>
        <w:t xml:space="preserve">Exclusive and luxury-focused inventory — for a last-minute luxury wedge, fewer but better-quality premium hotel contracts may outperform a larger commodity inventory. Strong in markets like London, Dubai, and Mediterranean resort destinations. Booking reliability rated at 90% for two-step confirmation and price accuracy at 99%.</w:t>
      </w:r>
    </w:p>
    <w:p>
      <w:pPr>
        <w:pStyle w:val="BodyText"/>
      </w:pPr>
      <w:r>
        <w:rPr>
          <w:b/>
        </w:rPr>
        <w:t xml:space="preserve">Weaknesses:</w:t>
      </w:r>
      <w:r>
        <w:t xml:space="preserve"> </w:t>
      </w:r>
      <w:r>
        <w:t xml:space="preserve">Small evaluation quota (50 requests/day is very limiting for testing). Enterprise sales process required for production. Not suitable as the first experimentation layer.</w:t>
      </w:r>
    </w:p>
    <w:p>
      <w:pPr>
        <w:pStyle w:val="BodyText"/>
      </w:pPr>
      <w:r>
        <w:rPr>
          <w:b/>
        </w:rPr>
        <w:t xml:space="preserve">Verdict:</w:t>
      </w:r>
      <w:r>
        <w:t xml:space="preserve"> </w:t>
      </w:r>
      <w:r>
        <w:t xml:space="preserve">Worth a direct conversation if the premium luxury last-minute wedge becomes the leading hypothesis. Their inventory quality in that segment is likely better than LiteAPI’s. But do not start here — start with LiteAPI, validate margins, and add Hotelbeds as a second provider conversation once the target market is clearer.</w:t>
      </w:r>
    </w:p>
    <w:p>
      <w:pPr>
        <w:pStyle w:val="Heading3"/>
      </w:pPr>
      <w:bookmarkStart w:id="30" w:name="amadeus-self-service-tier"/>
      <w:r>
        <w:t xml:space="preserve">Amadeus (Self-Service Tier)</w:t>
      </w:r>
      <w:bookmarkEnd w:id="30"/>
    </w:p>
    <w:p>
      <w:pPr>
        <w:pStyle w:val="FirstParagraph"/>
      </w:pPr>
      <w:r>
        <w:rPr>
          <w:b/>
        </w:rPr>
        <w:t xml:space="preserve">What it is:</w:t>
      </w:r>
      <w:r>
        <w:t xml:space="preserve"> </w:t>
      </w:r>
      <w:r>
        <w:t xml:space="preserve">One of the world’s largest Global Distribution Systems (GDS) with 2.3M+ lodging options. The self-service tier offers REST API access with a free testing quota (200-10,000 calls per month depending on the specific API) and production access priced per call at approximately €0.015-€0.025.</w:t>
      </w:r>
    </w:p>
    <w:p>
      <w:pPr>
        <w:pStyle w:val="BodyText"/>
      </w:pPr>
      <w:r>
        <w:rPr>
          <w:b/>
        </w:rPr>
        <w:t xml:space="preserve">Strengths:</w:t>
      </w:r>
      <w:r>
        <w:t xml:space="preserve"> </w:t>
      </w:r>
      <w:r>
        <w:t xml:space="preserve">GDS-connected inventory is particularly strong for business and premium travel properties. Excellent European and Middle East coverage. Strong documentation and a large developer community. Suitable for rate research and market validation before committing to a commercial provider relationship.</w:t>
      </w:r>
    </w:p>
    <w:p>
      <w:pPr>
        <w:pStyle w:val="BodyText"/>
      </w:pPr>
      <w:r>
        <w:rPr>
          <w:b/>
        </w:rPr>
        <w:t xml:space="preserve">Weaknesses:</w:t>
      </w:r>
      <w:r>
        <w:t xml:space="preserve"> </w:t>
      </w:r>
      <w:r>
        <w:t xml:space="preserve">Per-call cost model becomes expensive at search volume scale (a travel search product with a reasonable search-to-book ratio can generate significant per-call cost). Best suited for low-volume research and validation rather than high-volume production search. Integration cost estimates of $1,000-$5,000 for production-grade implementation.</w:t>
      </w:r>
    </w:p>
    <w:p>
      <w:pPr>
        <w:pStyle w:val="BodyText"/>
      </w:pPr>
      <w:r>
        <w:rPr>
          <w:b/>
        </w:rPr>
        <w:t xml:space="preserve">Verdict:</w:t>
      </w:r>
      <w:r>
        <w:t xml:space="preserve"> </w:t>
      </w:r>
      <w:r>
        <w:t xml:space="preserve">Use the free tier for rate research and market validation in target cities before committing to LiteAPI production. Amadeus’s free testing quota is well-suited for answering</w:t>
      </w:r>
      <w:r>
        <w:t xml:space="preserve"> </w:t>
      </w:r>
      <w:r>
        <w:t xml:space="preserve">“</w:t>
      </w:r>
      <w:r>
        <w:t xml:space="preserve">what are the real net-to-retail spreads in London, Dubai, and Bangkok</w:t>
      </w:r>
      <w:r>
        <w:t xml:space="preserve">”</w:t>
      </w:r>
      <w:r>
        <w:t xml:space="preserve"> </w:t>
      </w:r>
      <w:r>
        <w:t xml:space="preserve">cheaply, before choosing the primary booking API.</w:t>
      </w:r>
    </w:p>
    <w:p>
      <w:r>
        <w:pict>
          <v:rect style="width:0;height:1.5pt" o:hralign="center" o:hrstd="t" o:hr="t"/>
        </w:pict>
      </w:r>
    </w:p>
    <w:p>
      <w:pPr>
        <w:pStyle w:val="Heading2"/>
      </w:pPr>
      <w:bookmarkStart w:id="31" w:name="market-research-last-minute-luxury"/>
      <w:r>
        <w:t xml:space="preserve">3. Market Research: Last-Minute Luxury</w:t>
      </w:r>
      <w:bookmarkEnd w:id="31"/>
    </w:p>
    <w:p>
      <w:pPr>
        <w:pStyle w:val="Heading3"/>
      </w:pPr>
      <w:bookmarkStart w:id="32" w:name="market-size-and-growth"/>
      <w:r>
        <w:t xml:space="preserve">Market Size and Growth</w:t>
      </w:r>
      <w:bookmarkEnd w:id="32"/>
    </w:p>
    <w:p>
      <w:pPr>
        <w:pStyle w:val="FirstParagraph"/>
      </w:pPr>
      <w:r>
        <w:t xml:space="preserve">The global luxury hotel market was valued at approximately $170 billion in 2025, growing to an estimated $416 billion by 2034. This is a large, growing market with a compound annual growth rate of approximately 10% through the decade.</w:t>
      </w:r>
    </w:p>
    <w:p>
      <w:pPr>
        <w:pStyle w:val="BodyText"/>
      </w:pPr>
      <w:r>
        <w:t xml:space="preserve">Europe holds 37% of the luxury hotel market share and is the single largest region. Asia-Pacific is the fastest growing at approximately 11% CAGR, with Bangkok and Southeast Asian resort markets among the most dynamic. The US market (New York, Miami, Los Angeles, Las Vegas) has the highest per-room pricing and demand stability.</w:t>
      </w:r>
    </w:p>
    <w:p>
      <w:pPr>
        <w:pStyle w:val="Heading3"/>
      </w:pPr>
      <w:bookmarkStart w:id="33" w:name="last-minute-booking-demand"/>
      <w:r>
        <w:t xml:space="preserve">Last-Minute Booking Demand</w:t>
      </w:r>
      <w:bookmarkEnd w:id="33"/>
    </w:p>
    <w:p>
      <w:pPr>
        <w:pStyle w:val="FirstParagraph"/>
      </w:pPr>
      <w:r>
        <w:t xml:space="preserve">Approximately 40% of hotel bookings are made within 48 hours of check-in. On mobile specifically, last-minute bookings account for 44% of all hotel reservations. This is a structural demand pattern, not a niche behavior.</w:t>
      </w:r>
    </w:p>
    <w:p>
      <w:pPr>
        <w:pStyle w:val="BodyText"/>
      </w:pPr>
      <w:r>
        <w:t xml:space="preserve">The luxury segment shows a specific pattern that is commercially important: high-end hotels are documented to be more willing to offer discounted rates through less-transparent channels (membership platforms, apps, CUGs) rather than public OTAs. A New York last-minute hotel on HotelTonight averaged approximately $154/night versus $219/night on Google Hotels — roughly a 30% saving specifically on the luxury segment. This is the wedge.</w:t>
      </w:r>
    </w:p>
    <w:p>
      <w:pPr>
        <w:pStyle w:val="Heading3"/>
      </w:pPr>
      <w:bookmarkStart w:id="34" w:name="competitive-context-hoteltonight"/>
      <w:r>
        <w:t xml:space="preserve">Competitive Context: HotelTonight</w:t>
      </w:r>
      <w:bookmarkEnd w:id="34"/>
    </w:p>
    <w:p>
      <w:pPr>
        <w:pStyle w:val="FirstParagraph"/>
      </w:pPr>
      <w:r>
        <w:t xml:space="preserve">HotelTonight is the clearest proof of concept for this model. Launched in 2011, it focused exclusively on last-minute app-based hotel booking, with particular strength in luxury and boutique properties. The CUG mechanism (the app itself was the closed user group) allowed hotels to offer below-parity rates without violating their OTA contracts.</w:t>
      </w:r>
    </w:p>
    <w:p>
      <w:pPr>
        <w:pStyle w:val="BodyText"/>
      </w:pPr>
      <w:r>
        <w:t xml:space="preserve">HotelTonight was acquired by Airbnb in 2019 for an estimated $465M. It continues to operate but its development has slowed under Airbnb. The main competitors that emerged (HotelQuickly, Roomlia, One Night) have largely faded or pivoted.</w:t>
      </w:r>
      <w:r>
        <w:t xml:space="preserve"> </w:t>
      </w:r>
      <w:r>
        <w:rPr>
          <w:b/>
        </w:rPr>
        <w:t xml:space="preserve">The last-minute luxury app/membership space is less crowded today than in 2019.</w:t>
      </w:r>
    </w:p>
    <w:p>
      <w:pPr>
        <w:pStyle w:val="BodyText"/>
      </w:pPr>
      <w:r>
        <w:t xml:space="preserve">Key HotelTonight structural observations relevant to this plan:</w:t>
      </w:r>
      <w:r>
        <w:t xml:space="preserve"> </w:t>
      </w:r>
      <w:r>
        <w:t xml:space="preserve">- App-only initially (no public web pages showing prices) — functionally a CUG</w:t>
      </w:r>
      <w:r>
        <w:t xml:space="preserve"> </w:t>
      </w:r>
      <w:r>
        <w:t xml:space="preserve">- 25,000 hotels across 1,700 cities at peak</w:t>
      </w:r>
      <w:r>
        <w:t xml:space="preserve"> </w:t>
      </w:r>
      <w:r>
        <w:t xml:space="preserve">- Luxury 5-star properties were disproportionately represented versus their share of the broader market</w:t>
      </w:r>
      <w:r>
        <w:t xml:space="preserve"> </w:t>
      </w:r>
      <w:r>
        <w:t xml:space="preserve">- Mobile-first and frictionless checkout were core product decisions</w:t>
      </w:r>
      <w:r>
        <w:t xml:space="preserve"> </w:t>
      </w:r>
      <w:r>
        <w:t xml:space="preserve">- Hotels preferred HotelTonight over public OTAs for distressed inventory precisely because the channel was less price-transparent</w:t>
      </w:r>
    </w:p>
    <w:p>
      <w:pPr>
        <w:pStyle w:val="Heading3"/>
      </w:pPr>
      <w:bookmarkStart w:id="35" w:name="best-candidate-markets"/>
      <w:r>
        <w:t xml:space="preserve">Best Candidate Markets</w:t>
      </w:r>
      <w:bookmarkEnd w:id="35"/>
    </w:p>
    <w:p>
      <w:pPr>
        <w:pStyle w:val="FirstParagraph"/>
      </w:pPr>
      <w:r>
        <w:t xml:space="preserve">Based on market research, the strongest initial candidates for a last-minute luxury wedge are:</w:t>
      </w:r>
    </w:p>
    <w:p>
      <w:pPr>
        <w:pStyle w:val="BodyText"/>
      </w:pPr>
      <w:r>
        <w:rPr>
          <w:b/>
        </w:rPr>
        <w:t xml:space="preserve">London.</w:t>
      </w:r>
      <w:r>
        <w:t xml:space="preserve"> </w:t>
      </w:r>
      <w:r>
        <w:t xml:space="preserve">Large premium hotel market, high density of business and leisure demand, strong last-minute traveler base (corporate disruption, sporting events, theatre, etc.), deep European connectivity. Strong LiteAPI and Hotelbeds coverage expected.</w:t>
      </w:r>
    </w:p>
    <w:p>
      <w:pPr>
        <w:pStyle w:val="BodyText"/>
      </w:pPr>
      <w:r>
        <w:rPr>
          <w:b/>
        </w:rPr>
        <w:t xml:space="preserve">Dubai.</w:t>
      </w:r>
      <w:r>
        <w:t xml:space="preserve"> </w:t>
      </w:r>
      <w:r>
        <w:t xml:space="preserve">Very high average daily rates in the luxury segment, significant international traveler volume, cultural events and MICE demand creating genuine last-minute urgency. Growing market. Less competitive than London for a niche player.</w:t>
      </w:r>
    </w:p>
    <w:p>
      <w:pPr>
        <w:pStyle w:val="BodyText"/>
      </w:pPr>
      <w:r>
        <w:rPr>
          <w:b/>
        </w:rPr>
        <w:t xml:space="preserve">Bangkok.</w:t>
      </w:r>
      <w:r>
        <w:t xml:space="preserve"> </w:t>
      </w:r>
      <w:r>
        <w:t xml:space="preserve">Excellent 5-star supply relative to pricing — 5-star hotels at near 3-star prices by international standards. High tourist volume. Strong digital booking behavior. Good testing market because the margin arithmetic is more forgiving.</w:t>
      </w:r>
    </w:p>
    <w:p>
      <w:pPr>
        <w:pStyle w:val="BodyText"/>
      </w:pPr>
      <w:r>
        <w:rPr>
          <w:b/>
        </w:rPr>
        <w:t xml:space="preserve">Miami.</w:t>
      </w:r>
      <w:r>
        <w:t xml:space="preserve"> </w:t>
      </w:r>
      <w:r>
        <w:t xml:space="preserve">Strong last-minute demand driven by events, festivals, and spontaneous travel. One of the most expensive US cities for last-minute bookings ($185/night average). US-dollar market with strong credit card conversion.</w:t>
      </w:r>
    </w:p>
    <w:p>
      <w:pPr>
        <w:pStyle w:val="BodyText"/>
      </w:pPr>
      <w:r>
        <w:t xml:space="preserve">These should be the initial rate-test targets, not the final selection. Rate quality and margin economics per market must be verified with actual API calls before choosing a launch market.</w:t>
      </w:r>
    </w:p>
    <w:p>
      <w:r>
        <w:pict>
          <v:rect style="width:0;height:1.5pt" o:hralign="center" o:hrstd="t" o:hr="t"/>
        </w:pict>
      </w:r>
    </w:p>
    <w:p>
      <w:pPr>
        <w:pStyle w:val="Heading2"/>
      </w:pPr>
      <w:bookmarkStart w:id="36" w:name="programmatic-seo-what-the-research-shows"/>
      <w:r>
        <w:t xml:space="preserve">4. Programmatic SEO: What the Research Shows</w:t>
      </w:r>
      <w:bookmarkEnd w:id="36"/>
    </w:p>
    <w:p>
      <w:pPr>
        <w:pStyle w:val="Heading3"/>
      </w:pPr>
      <w:bookmarkStart w:id="37" w:name="the-opportunity"/>
      <w:r>
        <w:t xml:space="preserve">The Opportunity</w:t>
      </w:r>
      <w:bookmarkEnd w:id="37"/>
    </w:p>
    <w:p>
      <w:pPr>
        <w:pStyle w:val="FirstParagraph"/>
      </w:pPr>
      <w:r>
        <w:t xml:space="preserve">“</w:t>
      </w:r>
      <w:r>
        <w:t xml:space="preserve">Hotels near X</w:t>
      </w:r>
      <w:r>
        <w:t xml:space="preserve">”</w:t>
      </w:r>
      <w:r>
        <w:t xml:space="preserve"> </w:t>
      </w:r>
      <w:r>
        <w:t xml:space="preserve">and proximity-based queries account for a disproportionate share of travel search volume. 46% of all Google searches have local intent. Long-tail queries such as</w:t>
      </w:r>
      <w:r>
        <w:t xml:space="preserve"> </w:t>
      </w:r>
      <w:r>
        <w:t xml:space="preserve">“</w:t>
      </w:r>
      <w:r>
        <w:t xml:space="preserve">boutique hotel near Soho,</w:t>
      </w:r>
      <w:r>
        <w:t xml:space="preserve">”</w:t>
      </w:r>
      <w:r>
        <w:t xml:space="preserve"> </w:t>
      </w:r>
      <w:r>
        <w:t xml:space="preserve">“</w:t>
      </w:r>
      <w:r>
        <w:t xml:space="preserve">last-minute luxury hotel near Heathrow,</w:t>
      </w:r>
      <w:r>
        <w:t xml:space="preserve">”</w:t>
      </w:r>
      <w:r>
        <w:t xml:space="preserve"> </w:t>
      </w:r>
      <w:r>
        <w:t xml:space="preserve">or</w:t>
      </w:r>
      <w:r>
        <w:t xml:space="preserve"> </w:t>
      </w:r>
      <w:r>
        <w:t xml:space="preserve">“</w:t>
      </w:r>
      <w:r>
        <w:t xml:space="preserve">hotel near [venue] tonight</w:t>
      </w:r>
      <w:r>
        <w:t xml:space="preserve">”</w:t>
      </w:r>
      <w:r>
        <w:t xml:space="preserve"> </w:t>
      </w:r>
      <w:r>
        <w:t xml:space="preserve">have lower competition than broad city queries but significantly higher purchase intent.</w:t>
      </w:r>
    </w:p>
    <w:p>
      <w:pPr>
        <w:pStyle w:val="BodyText"/>
      </w:pPr>
      <w:r>
        <w:t xml:space="preserve">Booking.com generates approximately 281 million organic visits per month, with much of this driven by their programmatic page strategy — auto-generated pages for every city, neighborhood, landmark, and attraction globally. Tripadvisor generates over 226 million organic visits monthly on a similar model. These players dominate the broad head terms.</w:t>
      </w:r>
    </w:p>
    <w:p>
      <w:pPr>
        <w:pStyle w:val="BodyText"/>
      </w:pPr>
      <w:r>
        <w:rPr>
          <w:b/>
        </w:rPr>
        <w:t xml:space="preserve">The opportunity for a niche player is the long tail they haven’t deeply built:</w:t>
      </w:r>
      <w:r>
        <w:t xml:space="preserve"> </w:t>
      </w:r>
      <w:r>
        <w:t xml:space="preserve">highly specific location+intent+urgency combinations with dedicated, high-quality pages that answer a precise searcher’s need better than a generic city results page from Booking.com.</w:t>
      </w:r>
    </w:p>
    <w:p>
      <w:pPr>
        <w:pStyle w:val="Heading3"/>
      </w:pPr>
      <w:bookmarkStart w:id="38" w:name="X3a685781c975d59fd5062a2b7a285e5f96fc9b1"/>
      <w:r>
        <w:t xml:space="preserve">The Rate Parity Constraint and Its SEO Implications</w:t>
      </w:r>
      <w:bookmarkEnd w:id="38"/>
    </w:p>
    <w:p>
      <w:pPr>
        <w:pStyle w:val="FirstParagraph"/>
      </w:pPr>
      <w:r>
        <w:t xml:space="preserve">Because below-SSP prices cannot be shown on public pages, the SEO strategy cannot be price-led. Pages that show</w:t>
      </w:r>
      <w:r>
        <w:t xml:space="preserve"> </w:t>
      </w:r>
      <w:r>
        <w:t xml:space="preserve">“</w:t>
      </w:r>
      <w:r>
        <w:t xml:space="preserve">25% off tonight’s best luxury hotels in Soho</w:t>
      </w:r>
      <w:r>
        <w:t xml:space="preserve">”</w:t>
      </w:r>
      <w:r>
        <w:t xml:space="preserve"> </w:t>
      </w:r>
      <w:r>
        <w:t xml:space="preserve">are not viable with most bed bank inventory under standard rate parity agreements.</w:t>
      </w:r>
    </w:p>
    <w:p>
      <w:pPr>
        <w:pStyle w:val="BodyText"/>
      </w:pPr>
      <w:r>
        <w:t xml:space="preserve">What this means in practice: the value proposition on public SEO pages must be built around something other than price. The realistic options are:</w:t>
      </w:r>
    </w:p>
    <w:p>
      <w:pPr>
        <w:pStyle w:val="BodyText"/>
      </w:pPr>
      <w:r>
        <w:rPr>
          <w:b/>
        </w:rPr>
        <w:t xml:space="preserve">Content quality and intent specificity.</w:t>
      </w:r>
      <w:r>
        <w:t xml:space="preserve"> </w:t>
      </w:r>
      <w:r>
        <w:t xml:space="preserve">A page titled</w:t>
      </w:r>
      <w:r>
        <w:t xml:space="preserve"> </w:t>
      </w:r>
      <w:r>
        <w:t xml:space="preserve">“</w:t>
      </w:r>
      <w:r>
        <w:t xml:space="preserve">Last-minute luxury hotels near the Southbank, London</w:t>
      </w:r>
      <w:r>
        <w:t xml:space="preserve">”</w:t>
      </w:r>
      <w:r>
        <w:t xml:space="preserve"> </w:t>
      </w:r>
      <w:r>
        <w:t xml:space="preserve">that genuinely answers that specific need — neighborhood narrative, walking distances to venues, hotel character descriptions, what makes each property right for different traveler types — outperforms a generic city results page from a large OTA that treats the Southbank as just another map pin.</w:t>
      </w:r>
    </w:p>
    <w:p>
      <w:pPr>
        <w:pStyle w:val="BodyText"/>
      </w:pPr>
      <w:r>
        <w:rPr>
          <w:b/>
        </w:rPr>
        <w:t xml:space="preserve">Proximity and contextual relevance.</w:t>
      </w:r>
      <w:r>
        <w:t xml:space="preserve"> </w:t>
      </w:r>
      <w:r>
        <w:t xml:space="preserve">LiteAPI’s semantic and geographic search capabilities directly support this. A page built around</w:t>
      </w:r>
      <w:r>
        <w:t xml:space="preserve"> </w:t>
      </w:r>
      <w:r>
        <w:t xml:space="preserve">“</w:t>
      </w:r>
      <w:r>
        <w:t xml:space="preserve">hotels near the O2 Arena, London for tonight</w:t>
      </w:r>
      <w:r>
        <w:t xml:space="preserve">”</w:t>
      </w:r>
      <w:r>
        <w:t xml:space="preserve"> </w:t>
      </w:r>
      <w:r>
        <w:t xml:space="preserve">with accurate real-time availability data is useful in a way that a generic London hotels page is not.</w:t>
      </w:r>
    </w:p>
    <w:p>
      <w:pPr>
        <w:pStyle w:val="BodyText"/>
      </w:pPr>
      <w:r>
        <w:rPr>
          <w:b/>
        </w:rPr>
        <w:t xml:space="preserve">Urgency and curation framing.</w:t>
      </w:r>
      <w:r>
        <w:t xml:space="preserve"> </w:t>
      </w:r>
      <w:r>
        <w:t xml:space="preserve">Positioning the product as a trusted curator for urgent, considered stays — not the cheapest, but the right choice for someone who needs somewhere excellent tonight — is a differentiation angle that does not require price advantage.</w:t>
      </w:r>
    </w:p>
    <w:p>
      <w:pPr>
        <w:pStyle w:val="BodyText"/>
      </w:pPr>
      <w:r>
        <w:rPr>
          <w:b/>
        </w:rPr>
        <w:t xml:space="preserve">Membership funnel.</w:t>
      </w:r>
      <w:r>
        <w:t xml:space="preserve"> </w:t>
      </w:r>
      <w:r>
        <w:t xml:space="preserve">Use SEO pages as discovery and acquisition pages. The page’s CTA is not</w:t>
      </w:r>
      <w:r>
        <w:t xml:space="preserve"> </w:t>
      </w:r>
      <w:r>
        <w:t xml:space="preserve">“</w:t>
      </w:r>
      <w:r>
        <w:t xml:space="preserve">book now at this price</w:t>
      </w:r>
      <w:r>
        <w:t xml:space="preserve">”</w:t>
      </w:r>
      <w:r>
        <w:t xml:space="preserve"> </w:t>
      </w:r>
      <w:r>
        <w:t xml:space="preserve">but</w:t>
      </w:r>
      <w:r>
        <w:t xml:space="preserve"> </w:t>
      </w:r>
      <w:r>
        <w:t xml:space="preserve">“</w:t>
      </w:r>
      <w:r>
        <w:t xml:space="preserve">join to see tonight’s member rates.</w:t>
      </w:r>
      <w:r>
        <w:t xml:space="preserve">”</w:t>
      </w:r>
      <w:r>
        <w:t xml:space="preserve"> </w:t>
      </w:r>
      <w:r>
        <w:t xml:space="preserve">SEO becomes a top-of-funnel channel, not a closing channel. This is more complex to measure but more defensible commercially.</w:t>
      </w:r>
    </w:p>
    <w:p>
      <w:pPr>
        <w:pStyle w:val="Heading3"/>
      </w:pPr>
      <w:bookmarkStart w:id="39" w:name="Xb243deb257c444bcee793b5d9047189ee596014"/>
      <w:r>
        <w:t xml:space="preserve">What Google’s Spam Policies Mean for a Programmatic Approach</w:t>
      </w:r>
      <w:bookmarkEnd w:id="39"/>
    </w:p>
    <w:p>
      <w:pPr>
        <w:pStyle w:val="FirstParagraph"/>
      </w:pPr>
      <w:r>
        <w:t xml:space="preserve">Google’s scaled content abuse policy (formerly</w:t>
      </w:r>
      <w:r>
        <w:t xml:space="preserve"> </w:t>
      </w:r>
      <w:r>
        <w:t xml:space="preserve">“</w:t>
      </w:r>
      <w:r>
        <w:t xml:space="preserve">helpful content</w:t>
      </w:r>
      <w:r>
        <w:t xml:space="preserve">”</w:t>
      </w:r>
      <w:r>
        <w:t xml:space="preserve"> </w:t>
      </w:r>
      <w:r>
        <w:t xml:space="preserve">signals) penalises programmatically generated pages that are thin, repetitive, or that exist to capture traffic rather than serve user needs. For a travel SEO strategy to work at scale, each page must have genuine content differentiation — real neighborhood narrative, contextually accurate availability, editorial curation — not just template-filled boilerplate.</w:t>
      </w:r>
    </w:p>
    <w:p>
      <w:pPr>
        <w:pStyle w:val="BodyText"/>
      </w:pPr>
      <w:r>
        <w:t xml:space="preserve">The Page Registry design (Report 6) addresses this through quality gates before indexing. This remains the right architecture. The content standards it enforces are what separate a viable SEO play from a spam-penalised one.</w:t>
      </w:r>
    </w:p>
    <w:p>
      <w:r>
        <w:pict>
          <v:rect style="width:0;height:1.5pt" o:hralign="center" o:hrstd="t" o:hr="t"/>
        </w:pict>
      </w:r>
    </w:p>
    <w:p>
      <w:pPr>
        <w:pStyle w:val="Heading2"/>
      </w:pPr>
      <w:bookmarkStart w:id="40" w:name="stack-fit-assessment"/>
      <w:r>
        <w:t xml:space="preserve">5. Stack Fit Assessment</w:t>
      </w:r>
      <w:bookmarkEnd w:id="40"/>
    </w:p>
    <w:p>
      <w:pPr>
        <w:pStyle w:val="Heading3"/>
      </w:pPr>
      <w:bookmarkStart w:id="41" w:name="what-holds"/>
      <w:r>
        <w:t xml:space="preserve">What Holds</w:t>
      </w:r>
      <w:bookmarkEnd w:id="41"/>
    </w:p>
    <w:p>
      <w:pPr>
        <w:pStyle w:val="FirstParagraph"/>
      </w:pPr>
      <w:r>
        <w:t xml:space="preserve">The existing stack design holds well against these findings:</w:t>
      </w:r>
    </w:p>
    <w:p>
      <w:pPr>
        <w:pStyle w:val="BodyText"/>
      </w:pPr>
      <w:r>
        <w:rPr>
          <w:b/>
        </w:rPr>
        <w:t xml:space="preserve">Provider gateway abstraction (Report 5)</w:t>
      </w:r>
      <w:r>
        <w:t xml:space="preserve"> </w:t>
      </w:r>
      <w:r>
        <w:t xml:space="preserve">is exactly right. LiteAPI plugs in as Provider 1. RateHawk can be added as Provider 2 through the same interface. The bake-off approach already specified in the report is validated by this research.</w:t>
      </w:r>
    </w:p>
    <w:p>
      <w:pPr>
        <w:pStyle w:val="BodyText"/>
      </w:pPr>
      <w:r>
        <w:rPr>
          <w:b/>
        </w:rPr>
        <w:t xml:space="preserve">The portfolio ledger (Report 4)</w:t>
      </w:r>
      <w:r>
        <w:t xml:space="preserve"> </w:t>
      </w:r>
      <w:r>
        <w:t xml:space="preserve">can track rate-test experiments, market experiments, and wedge experiments through the same lifecycle structure without modification.</w:t>
      </w:r>
    </w:p>
    <w:p>
      <w:pPr>
        <w:pStyle w:val="BodyText"/>
      </w:pPr>
      <w:r>
        <w:rPr>
          <w:b/>
        </w:rPr>
        <w:t xml:space="preserve">The analytics pipeline (Report 7)</w:t>
      </w:r>
      <w:r>
        <w:t xml:space="preserve"> </w:t>
      </w:r>
      <w:r>
        <w:t xml:space="preserve">is well-suited to tracking the SEO-to-membership funnel if Option B is chosen — tracking organic sessions, sign-up rates, member-unlocked bookings, and revenue all with wedge-level granularity.</w:t>
      </w:r>
    </w:p>
    <w:p>
      <w:pPr>
        <w:pStyle w:val="BodyText"/>
      </w:pPr>
      <w:r>
        <w:rPr>
          <w:b/>
        </w:rPr>
        <w:t xml:space="preserve">The page registry (Report 6)</w:t>
      </w:r>
      <w:r>
        <w:t xml:space="preserve"> </w:t>
      </w:r>
      <w:r>
        <w:t xml:space="preserve">remains sound. Pages serve either as public SSP-priced pages or as top-of-funnel discovery pages. The quality gate logic becomes more important if pages are discovery rather than conversion pages, because organic ranking is the primary KPI rather than direct booking conversion.</w:t>
      </w:r>
    </w:p>
    <w:p>
      <w:pPr>
        <w:pStyle w:val="Heading3"/>
      </w:pPr>
      <w:bookmarkStart w:id="42" w:name="what-needs-to-evolve"/>
      <w:r>
        <w:t xml:space="preserve">What Needs to Evolve</w:t>
      </w:r>
      <w:bookmarkEnd w:id="42"/>
    </w:p>
    <w:p>
      <w:pPr>
        <w:pStyle w:val="FirstParagraph"/>
      </w:pPr>
      <w:r>
        <w:rPr>
          <w:b/>
        </w:rPr>
        <w:t xml:space="preserve">Authentication layer.</w:t>
      </w:r>
      <w:r>
        <w:t xml:space="preserve"> </w:t>
      </w:r>
      <w:r>
        <w:t xml:space="preserve">If the product goes the CUG/membership route (Option B), an authentication layer becomes a Horizon 1 requirement, not Horizon 2. The stack design currently treats authentication as a governance concern (Layer 8). For a membership product, it becomes a product requirement in Layer 6. This is not a difficult addition but it needs to be specified.</w:t>
      </w:r>
    </w:p>
    <w:p>
      <w:pPr>
        <w:pStyle w:val="BodyText"/>
      </w:pPr>
      <w:r>
        <w:rPr>
          <w:b/>
        </w:rPr>
        <w:t xml:space="preserve">The SEO page hypothesis must be restated.</w:t>
      </w:r>
      <w:r>
        <w:t xml:space="preserve"> </w:t>
      </w:r>
      <w:r>
        <w:t xml:space="preserve">The current venture thesis describes targeted destination SEO booking pages as a hypothesis. Given rate parity constraints, the more accurate statement is:</w:t>
      </w:r>
      <w:r>
        <w:t xml:space="preserve"> </w:t>
      </w:r>
      <w:r>
        <w:t xml:space="preserve">“</w:t>
      </w:r>
      <w:r>
        <w:t xml:space="preserve">targeted destination SEO pages as top-of-funnel acquisition for a membership-gated booking product.</w:t>
      </w:r>
      <w:r>
        <w:t xml:space="preserve">”</w:t>
      </w:r>
      <w:r>
        <w:t xml:space="preserve"> </w:t>
      </w:r>
      <w:r>
        <w:t xml:space="preserve">This changes what</w:t>
      </w:r>
      <w:r>
        <w:t xml:space="preserve"> </w:t>
      </w:r>
      <w:r>
        <w:t xml:space="preserve">“</w:t>
      </w:r>
      <w:r>
        <w:t xml:space="preserve">success</w:t>
      </w:r>
      <w:r>
        <w:t xml:space="preserve">”</w:t>
      </w:r>
      <w:r>
        <w:t xml:space="preserve"> </w:t>
      </w:r>
      <w:r>
        <w:t xml:space="preserve">looks like for SEO experiments — the primary metric shifts from direct booking conversion to member sign-up rate, and secondary metric to member-to-booking conversion.</w:t>
      </w:r>
    </w:p>
    <w:p>
      <w:pPr>
        <w:pStyle w:val="BodyText"/>
      </w:pPr>
      <w:r>
        <w:rPr>
          <w:b/>
        </w:rPr>
        <w:t xml:space="preserve">Market selection needs a commercial test before architecture deepens.</w:t>
      </w:r>
      <w:r>
        <w:t xml:space="preserve"> </w:t>
      </w:r>
      <w:r>
        <w:t xml:space="preserve">The stack is currently being designed around an unvalidated market thesis. The right sequencing is: test rate quality in 2-3 markets with actual API calls, choose the launch market based on real margin data, then deepen the Layer 6 architecture for that specific context. The stack design is modular enough to support this — but the build order should reflect it.</w:t>
      </w:r>
    </w:p>
    <w:p>
      <w:r>
        <w:pict>
          <v:rect style="width:0;height:1.5pt" o:hralign="center" o:hrstd="t" o:hr="t"/>
        </w:pict>
      </w:r>
    </w:p>
    <w:p>
      <w:pPr>
        <w:pStyle w:val="Heading2"/>
      </w:pPr>
      <w:bookmarkStart w:id="43" w:name="provider-comparison-summary"/>
      <w:r>
        <w:t xml:space="preserve">6. Provider Comparison Summary</w:t>
      </w:r>
      <w:bookmarkEnd w:id="4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LiteAPI</w:t>
            </w:r>
          </w:p>
        </w:tc>
        <w:tc>
          <w:tcPr>
            <w:tcBorders>
              <w:bottom w:val="single"/>
            </w:tcBorders>
            <w:vAlign w:val="bottom"/>
          </w:tcPr>
          <w:p>
            <w:pPr>
              <w:pStyle w:val="Compact"/>
              <w:jc w:val="left"/>
            </w:pPr>
            <w:r>
              <w:t xml:space="preserve">RateHawk</w:t>
            </w:r>
          </w:p>
        </w:tc>
        <w:tc>
          <w:tcPr>
            <w:tcBorders>
              <w:bottom w:val="single"/>
            </w:tcBorders>
            <w:vAlign w:val="bottom"/>
          </w:tcPr>
          <w:p>
            <w:pPr>
              <w:pStyle w:val="Compact"/>
              <w:jc w:val="left"/>
            </w:pPr>
            <w:r>
              <w:t xml:space="preserve">Amadeus (Self-Service)</w:t>
            </w:r>
          </w:p>
        </w:tc>
        <w:tc>
          <w:tcPr>
            <w:tcBorders>
              <w:bottom w:val="single"/>
            </w:tcBorders>
            <w:vAlign w:val="bottom"/>
          </w:tcPr>
          <w:p>
            <w:pPr>
              <w:pStyle w:val="Compact"/>
              <w:jc w:val="left"/>
            </w:pPr>
            <w:r>
              <w:t xml:space="preserve">Hotelbeds</w:t>
            </w:r>
          </w:p>
        </w:tc>
      </w:tr>
      <w:tr>
        <w:tc>
          <w:p>
            <w:pPr>
              <w:pStyle w:val="Compact"/>
              <w:jc w:val="left"/>
            </w:pPr>
            <w:r>
              <w:t xml:space="preserve">Properties</w:t>
            </w:r>
          </w:p>
        </w:tc>
        <w:tc>
          <w:p>
            <w:pPr>
              <w:pStyle w:val="Compact"/>
              <w:jc w:val="left"/>
            </w:pPr>
            <w:r>
              <w:t xml:space="preserve">2M+</w:t>
            </w:r>
          </w:p>
        </w:tc>
        <w:tc>
          <w:p>
            <w:pPr>
              <w:pStyle w:val="Compact"/>
              <w:jc w:val="left"/>
            </w:pPr>
            <w:r>
              <w:t xml:space="preserve">2.6M</w:t>
            </w:r>
          </w:p>
        </w:tc>
        <w:tc>
          <w:p>
            <w:pPr>
              <w:pStyle w:val="Compact"/>
              <w:jc w:val="left"/>
            </w:pPr>
            <w:r>
              <w:t xml:space="preserve">2.3M</w:t>
            </w:r>
          </w:p>
        </w:tc>
        <w:tc>
          <w:p>
            <w:pPr>
              <w:pStyle w:val="Compact"/>
              <w:jc w:val="left"/>
            </w:pPr>
            <w:r>
              <w:t xml:space="preserve">250,000 (premium)</w:t>
            </w:r>
          </w:p>
        </w:tc>
      </w:tr>
      <w:tr>
        <w:tc>
          <w:p>
            <w:pPr>
              <w:pStyle w:val="Compact"/>
              <w:jc w:val="left"/>
            </w:pPr>
            <w:r>
              <w:t xml:space="preserve">Time to first test</w:t>
            </w:r>
          </w:p>
        </w:tc>
        <w:tc>
          <w:p>
            <w:pPr>
              <w:pStyle w:val="Compact"/>
              <w:jc w:val="left"/>
            </w:pPr>
            <w:r>
              <w:t xml:space="preserve">Same day</w:t>
            </w:r>
          </w:p>
        </w:tc>
        <w:tc>
          <w:p>
            <w:pPr>
              <w:pStyle w:val="Compact"/>
              <w:jc w:val="left"/>
            </w:pPr>
            <w:r>
              <w:t xml:space="preserve">14–30 days</w:t>
            </w:r>
          </w:p>
        </w:tc>
        <w:tc>
          <w:p>
            <w:pPr>
              <w:pStyle w:val="Compact"/>
              <w:jc w:val="left"/>
            </w:pPr>
            <w:r>
              <w:t xml:space="preserve">Same day</w:t>
            </w:r>
          </w:p>
        </w:tc>
        <w:tc>
          <w:p>
            <w:pPr>
              <w:pStyle w:val="Compact"/>
              <w:jc w:val="left"/>
            </w:pPr>
            <w:r>
              <w:t xml:space="preserve">Weeks (commercial)</w:t>
            </w:r>
          </w:p>
        </w:tc>
      </w:tr>
      <w:tr>
        <w:tc>
          <w:p>
            <w:pPr>
              <w:pStyle w:val="Compact"/>
              <w:jc w:val="left"/>
            </w:pPr>
            <w:r>
              <w:t xml:space="preserve">Margin model</w:t>
            </w:r>
          </w:p>
        </w:tc>
        <w:tc>
          <w:p>
            <w:pPr>
              <w:pStyle w:val="Compact"/>
              <w:jc w:val="left"/>
            </w:pPr>
            <w:r>
              <w:t xml:space="preserve">Net + markup</w:t>
            </w:r>
          </w:p>
        </w:tc>
        <w:tc>
          <w:p>
            <w:pPr>
              <w:pStyle w:val="Compact"/>
              <w:jc w:val="left"/>
            </w:pPr>
            <w:r>
              <w:t xml:space="preserve">Net</w:t>
            </w:r>
          </w:p>
        </w:tc>
        <w:tc>
          <w:p>
            <w:pPr>
              <w:pStyle w:val="Compact"/>
              <w:jc w:val="left"/>
            </w:pPr>
            <w:r>
              <w:t xml:space="preserve">Per-call fee</w:t>
            </w:r>
          </w:p>
        </w:tc>
        <w:tc>
          <w:p>
            <w:pPr>
              <w:pStyle w:val="Compact"/>
              <w:jc w:val="left"/>
            </w:pPr>
            <w:r>
              <w:t xml:space="preserve">Commercial agreement</w:t>
            </w:r>
          </w:p>
        </w:tc>
      </w:tr>
      <w:tr>
        <w:tc>
          <w:p>
            <w:pPr>
              <w:pStyle w:val="Compact"/>
              <w:jc w:val="left"/>
            </w:pPr>
            <w:r>
              <w:t xml:space="preserve">Claimed margin</w:t>
            </w:r>
          </w:p>
        </w:tc>
        <w:tc>
          <w:p>
            <w:pPr>
              <w:pStyle w:val="Compact"/>
              <w:jc w:val="left"/>
            </w:pPr>
            <w:r>
              <w:t xml:space="preserve">Up to 20%</w:t>
            </w:r>
          </w:p>
        </w:tc>
        <w:tc>
          <w:p>
            <w:pPr>
              <w:pStyle w:val="Compact"/>
              <w:jc w:val="left"/>
            </w:pPr>
            <w:r>
              <w:t xml:space="preserve">Wholesale net</w:t>
            </w:r>
          </w:p>
        </w:tc>
        <w:tc>
          <w:p>
            <w:pPr>
              <w:pStyle w:val="Compact"/>
              <w:jc w:val="left"/>
            </w:pPr>
            <w:r>
              <w:t xml:space="preserve">N/A (cost model)</w:t>
            </w:r>
          </w:p>
        </w:tc>
        <w:tc>
          <w:p>
            <w:pPr>
              <w:pStyle w:val="Compact"/>
              <w:jc w:val="left"/>
            </w:pPr>
            <w:r>
              <w:t xml:space="preserve">Negotiated</w:t>
            </w:r>
          </w:p>
        </w:tc>
      </w:tr>
      <w:tr>
        <w:tc>
          <w:p>
            <w:pPr>
              <w:pStyle w:val="Compact"/>
              <w:jc w:val="left"/>
            </w:pPr>
            <w:r>
              <w:t xml:space="preserve">Developer friction</w:t>
            </w:r>
          </w:p>
        </w:tc>
        <w:tc>
          <w:p>
            <w:pPr>
              <w:pStyle w:val="Compact"/>
              <w:jc w:val="left"/>
            </w:pPr>
            <w:r>
              <w:t xml:space="preserve">Very low</w:t>
            </w:r>
          </w:p>
        </w:tc>
        <w:tc>
          <w:p>
            <w:pPr>
              <w:pStyle w:val="Compact"/>
              <w:jc w:val="left"/>
            </w:pPr>
            <w:r>
              <w:t xml:space="preserve">Medium</w:t>
            </w:r>
          </w:p>
        </w:tc>
        <w:tc>
          <w:p>
            <w:pPr>
              <w:pStyle w:val="Compact"/>
              <w:jc w:val="left"/>
            </w:pPr>
            <w:r>
              <w:t xml:space="preserve">Low</w:t>
            </w:r>
          </w:p>
        </w:tc>
        <w:tc>
          <w:p>
            <w:pPr>
              <w:pStyle w:val="Compact"/>
              <w:jc w:val="left"/>
            </w:pPr>
            <w:r>
              <w:t xml:space="preserve">High</w:t>
            </w:r>
          </w:p>
        </w:tc>
      </w:tr>
      <w:tr>
        <w:tc>
          <w:p>
            <w:pPr>
              <w:pStyle w:val="Compact"/>
              <w:jc w:val="left"/>
            </w:pPr>
            <w:r>
              <w:t xml:space="preserve">Luxury inventory quality</w:t>
            </w:r>
          </w:p>
        </w:tc>
        <w:tc>
          <w:p>
            <w:pPr>
              <w:pStyle w:val="Compact"/>
              <w:jc w:val="left"/>
            </w:pPr>
            <w:r>
              <w:t xml:space="preserve">Unknown</w:t>
            </w:r>
          </w:p>
        </w:tc>
        <w:tc>
          <w:p>
            <w:pPr>
              <w:pStyle w:val="Compact"/>
              <w:jc w:val="left"/>
            </w:pPr>
            <w:r>
              <w:t xml:space="preserve">Good</w:t>
            </w:r>
          </w:p>
        </w:tc>
        <w:tc>
          <w:p>
            <w:pPr>
              <w:pStyle w:val="Compact"/>
              <w:jc w:val="left"/>
            </w:pPr>
            <w:r>
              <w:t xml:space="preserve">Good (GDS)</w:t>
            </w:r>
          </w:p>
        </w:tc>
        <w:tc>
          <w:p>
            <w:pPr>
              <w:pStyle w:val="Compact"/>
              <w:jc w:val="left"/>
            </w:pPr>
            <w:r>
              <w:t xml:space="preserve">High (premium focus)</w:t>
            </w:r>
          </w:p>
        </w:tc>
      </w:tr>
      <w:tr>
        <w:tc>
          <w:p>
            <w:pPr>
              <w:pStyle w:val="Compact"/>
              <w:jc w:val="left"/>
            </w:pPr>
            <w:r>
              <w:t xml:space="preserve">CUG/member rates</w:t>
            </w:r>
          </w:p>
        </w:tc>
        <w:tc>
          <w:p>
            <w:pPr>
              <w:pStyle w:val="Compact"/>
              <w:jc w:val="left"/>
            </w:pPr>
            <w:r>
              <w:t xml:space="preserve">Yes</w:t>
            </w:r>
          </w:p>
        </w:tc>
        <w:tc>
          <w:p>
            <w:pPr>
              <w:pStyle w:val="Compact"/>
              <w:jc w:val="left"/>
            </w:pPr>
            <w:r>
              <w:t xml:space="preserve">Yes</w:t>
            </w:r>
          </w:p>
        </w:tc>
        <w:tc>
          <w:p>
            <w:pPr>
              <w:pStyle w:val="Compact"/>
              <w:jc w:val="left"/>
            </w:pPr>
            <w:r>
              <w:t xml:space="preserve">Partial</w:t>
            </w:r>
          </w:p>
        </w:tc>
        <w:tc>
          <w:p>
            <w:pPr>
              <w:pStyle w:val="Compact"/>
              <w:jc w:val="left"/>
            </w:pPr>
            <w:r>
              <w:t xml:space="preserve">Yes</w:t>
            </w:r>
          </w:p>
        </w:tc>
      </w:tr>
      <w:tr>
        <w:tc>
          <w:p>
            <w:pPr>
              <w:pStyle w:val="Compact"/>
              <w:jc w:val="left"/>
            </w:pPr>
            <w:r>
              <w:t xml:space="preserve">Rate parity enforcement</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r>
      <w:tr>
        <w:tc>
          <w:p>
            <w:pPr>
              <w:pStyle w:val="Compact"/>
              <w:jc w:val="left"/>
            </w:pPr>
            <w:r>
              <w:t xml:space="preserve">Best for</w:t>
            </w:r>
          </w:p>
        </w:tc>
        <w:tc>
          <w:p>
            <w:pPr>
              <w:pStyle w:val="Compact"/>
              <w:jc w:val="left"/>
            </w:pPr>
            <w:r>
              <w:t xml:space="preserve">First experiment</w:t>
            </w:r>
          </w:p>
        </w:tc>
        <w:tc>
          <w:p>
            <w:pPr>
              <w:pStyle w:val="Compact"/>
              <w:jc w:val="left"/>
            </w:pPr>
            <w:r>
              <w:t xml:space="preserve">Bake-off / production</w:t>
            </w:r>
          </w:p>
        </w:tc>
        <w:tc>
          <w:p>
            <w:pPr>
              <w:pStyle w:val="Compact"/>
              <w:jc w:val="left"/>
            </w:pPr>
            <w:r>
              <w:t xml:space="preserve">Rate validation research</w:t>
            </w:r>
          </w:p>
        </w:tc>
        <w:tc>
          <w:p>
            <w:pPr>
              <w:pStyle w:val="Compact"/>
              <w:jc w:val="left"/>
            </w:pPr>
            <w:r>
              <w:t xml:space="preserve">Luxury wedge (later)</w:t>
            </w:r>
          </w:p>
        </w:tc>
      </w:tr>
    </w:tbl>
    <w:p>
      <w:r>
        <w:pict>
          <v:rect style="width:0;height:1.5pt" o:hralign="center" o:hrstd="t" o:hr="t"/>
        </w:pict>
      </w:r>
    </w:p>
    <w:p>
      <w:pPr>
        <w:pStyle w:val="Heading2"/>
      </w:pPr>
      <w:bookmarkStart w:id="44" w:name="recommended-actions"/>
      <w:r>
        <w:t xml:space="preserve">7. Recommended Actions</w:t>
      </w:r>
      <w:bookmarkEnd w:id="44"/>
    </w:p>
    <w:p>
      <w:pPr>
        <w:pStyle w:val="FirstParagraph"/>
      </w:pPr>
      <w:r>
        <w:t xml:space="preserve">These are concrete actions, ordered by priority. No further research reports are needed before beginning.</w:t>
      </w:r>
    </w:p>
    <w:p>
      <w:pPr>
        <w:pStyle w:val="Heading3"/>
      </w:pPr>
      <w:bookmarkStart w:id="45" w:name="action-1-run-the-margin-test-this-week"/>
      <w:r>
        <w:t xml:space="preserve">Action 1: Run the margin test (this week)</w:t>
      </w:r>
      <w:bookmarkEnd w:id="45"/>
    </w:p>
    <w:p>
      <w:pPr>
        <w:pStyle w:val="FirstParagraph"/>
      </w:pPr>
      <w:r>
        <w:t xml:space="preserve">Get LiteAPI sandbox credentials. Query rates for 10-15 hotels across 2-3 target markets (suggest London, Dubai, Bangkok). For each hotel and date combination, record the LiteAPI net rate and compare it to the rate shown on Booking.com and Hotels.com for the same dates. Calculate the real spread.</w:t>
      </w:r>
    </w:p>
    <w:p>
      <w:pPr>
        <w:pStyle w:val="BodyText"/>
      </w:pPr>
      <w:r>
        <w:t xml:space="preserve">This is a single day of work that answers the most critical unknown in the plan. If the spread is consistently 10%+ in attractive markets, the economics work. If it is consistently below 5%, the LiteAPI-based model needs rethinking and a direct approach to Hotelbeds or RateHawk becomes more urgent.</w:t>
      </w:r>
    </w:p>
    <w:p>
      <w:pPr>
        <w:pStyle w:val="Heading3"/>
      </w:pPr>
      <w:bookmarkStart w:id="46" w:name="X983e4e6b3f6a8b4a6924596b9b476e7083ab008"/>
      <w:r>
        <w:t xml:space="preserve">Action 2: Register for RateHawk sandbox now</w:t>
      </w:r>
      <w:bookmarkEnd w:id="46"/>
    </w:p>
    <w:p>
      <w:pPr>
        <w:pStyle w:val="FirstParagraph"/>
      </w:pPr>
      <w:r>
        <w:t xml:space="preserve">The 14-30 day certification window means starting immediately is wise. Registration is free. Having RateHawk in parallel during the bake-off costs almost nothing and validates the provider-gateway architecture. This is a one-time 30-minute task.</w:t>
      </w:r>
    </w:p>
    <w:p>
      <w:pPr>
        <w:pStyle w:val="Heading3"/>
      </w:pPr>
      <w:bookmarkStart w:id="47" w:name="X2b80bf37c28d2d6af7485ede9385270f7a27869"/>
      <w:r>
        <w:t xml:space="preserve">Action 3: Decide on Option A versus Option B before building the SEO layer</w:t>
      </w:r>
      <w:bookmarkEnd w:id="47"/>
    </w:p>
    <w:p>
      <w:pPr>
        <w:pStyle w:val="FirstParagraph"/>
      </w:pPr>
      <w:r>
        <w:t xml:space="preserve">Before the page registry is built out, resolve the rate parity question strategically. The decision is:</w:t>
      </w:r>
    </w:p>
    <w:p>
      <w:pPr>
        <w:numPr>
          <w:ilvl w:val="0"/>
          <w:numId w:val="1002"/>
        </w:numPr>
        <w:pStyle w:val="Compact"/>
      </w:pPr>
      <w:r>
        <w:rPr>
          <w:b/>
        </w:rPr>
        <w:t xml:space="preserve">Option A:</w:t>
      </w:r>
      <w:r>
        <w:t xml:space="preserve"> </w:t>
      </w:r>
      <w:r>
        <w:t xml:space="preserve">Public pages at SSP prices. Compete on content quality and intent precision. Simpler product architecture. Weaker economic differentiation.</w:t>
      </w:r>
    </w:p>
    <w:p>
      <w:pPr>
        <w:numPr>
          <w:ilvl w:val="0"/>
          <w:numId w:val="1002"/>
        </w:numPr>
        <w:pStyle w:val="Compact"/>
      </w:pPr>
      <w:r>
        <w:rPr>
          <w:b/>
        </w:rPr>
        <w:t xml:space="preserve">Option B:</w:t>
      </w:r>
      <w:r>
        <w:t xml:space="preserve"> </w:t>
      </w:r>
      <w:r>
        <w:t xml:space="preserve">SEO to membership funnel. Below-SSP rates gated behind login. Stronger economic differentiation. Requires authentication layer in Horizon 1. Closer to the HotelTonight model that proved viable at scale.</w:t>
      </w:r>
    </w:p>
    <w:p>
      <w:pPr>
        <w:pStyle w:val="FirstParagraph"/>
      </w:pPr>
      <w:r>
        <w:t xml:space="preserve">This is a product decision, not a research question. The evidence from HotelTonight and the luxury hotel discount behaviour documented in this research suggests Option B is the stronger commercial architecture. But it should be made explicitly and recorded in the decision log.</w:t>
      </w:r>
    </w:p>
    <w:p>
      <w:pPr>
        <w:pStyle w:val="Heading3"/>
      </w:pPr>
      <w:bookmarkStart w:id="48" w:name="X69dbe16c9c2e5e972b0ccb9a7f9c62a111f2963"/>
      <w:r>
        <w:t xml:space="preserve">Action 4: Use Amadeus free tier for market validation alongside LiteAPI</w:t>
      </w:r>
      <w:bookmarkEnd w:id="48"/>
    </w:p>
    <w:p>
      <w:pPr>
        <w:pStyle w:val="FirstParagraph"/>
      </w:pPr>
      <w:r>
        <w:t xml:space="preserve">Amadeus’s free testing quota (up to 10,000 calls/month on some APIs) is well-suited for running market research before committing production volume to any provider. Use it in parallel with LiteAPI sandbox to validate rate quality, availability patterns, and inventory density in candidate markets.</w:t>
      </w:r>
    </w:p>
    <w:p>
      <w:pPr>
        <w:pStyle w:val="Heading3"/>
      </w:pPr>
      <w:bookmarkStart w:id="49" w:name="X06065615b874ec812c458a9206d538f0cd97514"/>
      <w:r>
        <w:t xml:space="preserve">Action 5: No further API landscape research needed</w:t>
      </w:r>
      <w:bookmarkEnd w:id="49"/>
    </w:p>
    <w:p>
      <w:pPr>
        <w:pStyle w:val="FirstParagraph"/>
      </w:pPr>
      <w:r>
        <w:t xml:space="preserve">The provider landscape is well understood from this research. The remaining unknowns are answered by testing, not by more reading. Any further market research before running Action 1 is delay, not diligence.</w:t>
      </w:r>
    </w:p>
    <w:p>
      <w:r>
        <w:pict>
          <v:rect style="width:0;height:1.5pt" o:hralign="center" o:hrstd="t" o:hr="t"/>
        </w:pict>
      </w:r>
    </w:p>
    <w:p>
      <w:pPr>
        <w:pStyle w:val="Heading2"/>
      </w:pPr>
      <w:bookmarkStart w:id="50" w:name="open-questions-resolved-by-this-research"/>
      <w:r>
        <w:t xml:space="preserve">8. Open Questions Resolved by This Research</w:t>
      </w:r>
      <w:bookmarkEnd w:id="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Answer</w:t>
            </w:r>
          </w:p>
        </w:tc>
      </w:tr>
      <w:tr>
        <w:tc>
          <w:p>
            <w:pPr>
              <w:pStyle w:val="Compact"/>
              <w:jc w:val="left"/>
            </w:pPr>
            <w:r>
              <w:t xml:space="preserve">Is LiteAPI suitable as the starting commerce layer?</w:t>
            </w:r>
          </w:p>
        </w:tc>
        <w:tc>
          <w:p>
            <w:pPr>
              <w:pStyle w:val="Compact"/>
              <w:jc w:val="left"/>
            </w:pPr>
            <w:r>
              <w:t xml:space="preserve">Yes, as the first provider behind a gateway abstraction</w:t>
            </w:r>
          </w:p>
        </w:tc>
      </w:tr>
      <w:tr>
        <w:tc>
          <w:p>
            <w:pPr>
              <w:pStyle w:val="Compact"/>
              <w:jc w:val="left"/>
            </w:pPr>
            <w:r>
              <w:t xml:space="preserve">Can public SEO pages show below-SSP prices?</w:t>
            </w:r>
          </w:p>
        </w:tc>
        <w:tc>
          <w:p>
            <w:pPr>
              <w:pStyle w:val="Compact"/>
              <w:jc w:val="left"/>
            </w:pPr>
            <w:r>
              <w:t xml:space="preserve">No — must be gated behind login/CUG</w:t>
            </w:r>
          </w:p>
        </w:tc>
      </w:tr>
      <w:tr>
        <w:tc>
          <w:p>
            <w:pPr>
              <w:pStyle w:val="Compact"/>
              <w:jc w:val="left"/>
            </w:pPr>
            <w:r>
              <w:t xml:space="preserve">Is the last-minute luxury market real?</w:t>
            </w:r>
          </w:p>
        </w:tc>
        <w:tc>
          <w:p>
            <w:pPr>
              <w:pStyle w:val="Compact"/>
              <w:jc w:val="left"/>
            </w:pPr>
            <w:r>
              <w:t xml:space="preserve">Yes — $170B global, 40% of bookings within 48h, luxury hotels actively prefer CUG channels</w:t>
            </w:r>
          </w:p>
        </w:tc>
      </w:tr>
      <w:tr>
        <w:tc>
          <w:p>
            <w:pPr>
              <w:pStyle w:val="Compact"/>
              <w:jc w:val="left"/>
            </w:pPr>
            <w:r>
              <w:t xml:space="preserve">Does the HotelTonight model still have space?</w:t>
            </w:r>
          </w:p>
        </w:tc>
        <w:tc>
          <w:p>
            <w:pPr>
              <w:pStyle w:val="Compact"/>
              <w:jc w:val="left"/>
            </w:pPr>
            <w:r>
              <w:t xml:space="preserve">Yes — space less crowded since Airbnb acquisition, most competitors have faded</w:t>
            </w:r>
          </w:p>
        </w:tc>
      </w:tr>
      <w:tr>
        <w:tc>
          <w:p>
            <w:pPr>
              <w:pStyle w:val="Compact"/>
              <w:jc w:val="left"/>
            </w:pPr>
            <w:r>
              <w:t xml:space="preserve">Which alternative APIs are most relevant?</w:t>
            </w:r>
          </w:p>
        </w:tc>
        <w:tc>
          <w:p>
            <w:pPr>
              <w:pStyle w:val="Compact"/>
              <w:jc w:val="left"/>
            </w:pPr>
            <w:r>
              <w:t xml:space="preserve">RateHawk (bake-off), Amadeus (validation research), Hotelbeds (luxury wedge, later)</w:t>
            </w:r>
          </w:p>
        </w:tc>
      </w:tr>
      <w:tr>
        <w:tc>
          <w:p>
            <w:pPr>
              <w:pStyle w:val="Compact"/>
              <w:jc w:val="left"/>
            </w:pPr>
            <w:r>
              <w:t xml:space="preserve">Does the existing stack design hold?</w:t>
            </w:r>
          </w:p>
        </w:tc>
        <w:tc>
          <w:p>
            <w:pPr>
              <w:pStyle w:val="Compact"/>
              <w:jc w:val="left"/>
            </w:pPr>
            <w:r>
              <w:t xml:space="preserve">Yes, with one addition: authentication layer becomes Horizon 1 if CUG model is chosen</w:t>
            </w:r>
          </w:p>
        </w:tc>
      </w:tr>
      <w:tr>
        <w:tc>
          <w:p>
            <w:pPr>
              <w:pStyle w:val="Compact"/>
              <w:jc w:val="left"/>
            </w:pPr>
            <w:r>
              <w:t xml:space="preserve">What is the most important next action?</w:t>
            </w:r>
          </w:p>
        </w:tc>
        <w:tc>
          <w:p>
            <w:pPr>
              <w:pStyle w:val="Compact"/>
              <w:jc w:val="left"/>
            </w:pPr>
            <w:r>
              <w:t xml:space="preserve">Run the actual margin test — this is a one-day test, not a research task</w:t>
            </w:r>
          </w:p>
        </w:tc>
      </w:tr>
    </w:tbl>
    <w:p>
      <w:r>
        <w:pict>
          <v:rect style="width:0;height:1.5pt" o:hralign="center" o:hrstd="t" o:hr="t"/>
        </w:pict>
      </w:r>
    </w:p>
    <w:p>
      <w:pPr>
        <w:pStyle w:val="FirstParagraph"/>
      </w:pPr>
      <w:r>
        <w:rPr>
          <w:i/>
        </w:rPr>
        <w:t xml:space="preserve">Sources: LiteAPI documentation and 2025 product updates (nuitee.com), RateHawk API blog and sandbox documentation (blog.ratehawk.com), Amadeus developer portal and pricing (developers.amadeus.com), Hotelbeds developer portal (developer.hotelbeds.com), Mordor Intelligence luxury hotel market report, Grand View Research luxury hotel market report, HotelTonight model analysis (maphappy.org, ResearchGate), SiteMinder hotel industry statistics, AltexSoft hotel API comparison, ZentrumHub hotel supplier guide, PhocusWire CUG analysis.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2026-03-11T05:54:43Z</dcterms:created>
  <dcterms:modified xsi:type="dcterms:W3CDTF">2026-03-11T05:54:43Z</dcterms:modified>
</cp:coreProperties>
</file>

<file path=docProps/custom.xml><?xml version="1.0" encoding="utf-8"?>
<Properties xmlns="http://schemas.openxmlformats.org/officeDocument/2006/custom-properties" xmlns:vt="http://schemas.openxmlformats.org/officeDocument/2006/docPropsVTypes"/>
</file>