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32"/>
          <w:szCs w:val="32"/>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O</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440" w:right="1800" w:bottom="1440" w:left="1800"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t>（中文摘要內容待補：本段應涵蓋研究目的、研究方法、主要結果與貢獻，以一頁為原則。）</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t>(English abstract to be completed: purpose, methodology, key results, and contributions.)</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14:paraId="5D7CAE1B"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t>（誌謝內容待補。）</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440" w:right="1800" w:bottom="1440" w:left="1800" w:header="851" w:footer="992" w:gutter="0"/>
          <w:pgNumType w:fmt="upperRoman" w:start="1"/>
          <w:cols w:space="425"/>
          <w:docGrid w:type="lines" w:linePitch="360"/>
        </w:sectPr>
      </w:pPr>
    </w:p>
    <w:p>
      <w:pPr>
        <w:pStyle w:val="1"/>
      </w:pPr>
      <w:r>
        <w:rPr>
          <w:rFonts w:ascii="Times New Roman" w:hAnsi="Times New Roman" w:eastAsia="標楷體"/>
          <w:b/>
          <w:sz w:val="32"/>
        </w:rPr>
        <w:t>第一章　緒論</w:t>
      </w:r>
    </w:p>
    <w:p>
      <w:pPr>
        <w:spacing w:lineRule="atLeast" w:line="360" w:before="240" w:after="120"/>
        <w:jc w:val="left"/>
      </w:pPr>
      <w:r>
        <w:rPr>
          <w:rFonts w:eastAsia="標楷體" w:ascii="Times New Roman" w:hAnsi="Times New Roman"/>
          <w:b/>
          <w:sz w:val="28"/>
        </w:rPr>
        <w:t>1.1　研究背景</w:t>
      </w:r>
    </w:p>
    <w:p>
      <w:pPr>
        <w:spacing w:lineRule="atLeast" w:line="480"/>
        <w:ind w:firstLine="480"/>
        <w:jc w:val="both"/>
      </w:pPr>
      <w:r>
        <w:rPr>
          <w:rFonts w:eastAsia="標楷體" w:ascii="Times New Roman" w:hAnsi="Times New Roman"/>
          <w:b w:val="0"/>
          <w:sz w:val="24"/>
        </w:rPr>
        <w:t>近年來在淨零碳排與能源轉型的趨勢之下，鋰離子電池憑藉其高能量密度、低自放電率與長循環壽命等優勢，已成為電動車輛、可攜式電子裝置與大型儲能系統最主要的儲能元件 [1]。隨著應用規模持續擴大，電池在長期使用與深度充放電下所衍生的安全與壽命問題日益受到重視；電池若在劣化或異常狀態下持續運作，輕則加速老化、縮短使用壽命，重則引發過熱、起火甚至爆炸等公共安全事故 [1]。為了在確保安全的前提下充分發揮電池效能，電池管理系統（Battery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sz w:val="24"/>
        </w:rPr>
        <w:t>然而，SOC 屬於電池的內部狀態，無法以任何感測器直接量測，只能透過端電壓、電流與溫度等可量測物理量間接推估 [2]。其困難之處在於，鋰離子電池本質上是一個高度非線性、時變且具有極化與遲滯特性的電化學系統：相同的端電壓在不同的電流負載、溫度與老化程度下可能對應到截然不同的真實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lineRule="atLeast" w:line="360" w:before="240" w:after="120"/>
        <w:jc w:val="left"/>
      </w:pPr>
      <w:r>
        <w:rPr>
          <w:rFonts w:eastAsia="標楷體" w:ascii="Times New Roman" w:hAnsi="Times New Roman"/>
          <w:b/>
          <w:sz w:val="28"/>
        </w:rPr>
        <w:t>1.2　研究動機</w:t>
      </w:r>
    </w:p>
    <w:p>
      <w:pPr>
        <w:spacing w:lineRule="atLeast" w:line="480"/>
        <w:ind w:firstLine="480"/>
        <w:jc w:val="both"/>
      </w:pPr>
      <w:r>
        <w:rPr>
          <w:rFonts w:eastAsia="標楷體" w:ascii="Times New Roman" w:hAnsi="Times New Roman"/>
          <w:b w:val="0"/>
          <w:sz w:val="24"/>
        </w:rPr>
        <w:t>針對 SOC 估測，學界與業界已提出眾多方法，大致可分為三類：其一為直接計量法，包括以電流積分推估電量變化的庫倫計數法（Coulomb Counting）[3]，以及利用開路電壓與 SOC 對應關係的開路電壓查表法（OCV Look-up）；其二為模型基礎法，以等效電路模型搭配卡爾曼濾波器族（KF / EKF / UKF）為代表，並可進一步衍生出如動態阻抗法等以電氣特性變化量推估 SOC 的技巧 [2]；其三為資料驅動法，以類神經網路（Neural Network）等機器學習模型直接由量測資料學習 SOC 映射關係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sz w:val="24"/>
        </w:rPr>
        <w:t>第二個缺口在於比較基準的不公平。既有的跨方法比較往往使用不同的電池、不同的測試協定與不同的硬體平台，使得各方法所報告的精度數字之間缺乏可直接對比的共同基準。以 Lin 等人提出的動態阻抗法 [2]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lineRule="atLeast" w:line="360" w:before="240" w:after="120"/>
        <w:jc w:val="left"/>
      </w:pPr>
      <w:r>
        <w:rPr>
          <w:rFonts w:eastAsia="標楷體" w:ascii="Times New Roman" w:hAnsi="Times New Roman"/>
          <w:b/>
          <w:sz w:val="28"/>
        </w:rPr>
        <w:t>1.3　研究目的與貢獻</w:t>
      </w:r>
    </w:p>
    <w:p>
      <w:pPr>
        <w:spacing w:lineRule="atLeast" w:line="480"/>
        <w:ind w:firstLine="480"/>
        <w:jc w:val="both"/>
      </w:pPr>
      <w:r>
        <w:rPr>
          <w:rFonts w:eastAsia="標楷體" w:ascii="Times New Roman" w:hAnsi="Times New Roman"/>
          <w:b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sz w:val="24"/>
        </w:rPr>
        <w:t>為達成上述目的，本論文之主要貢獻歸納為以下三點：</w:t>
      </w:r>
    </w:p>
    <w:p>
      <w:pPr>
        <w:spacing w:lineRule="atLeast" w:line="480"/>
        <w:ind w:firstLine="480"/>
        <w:jc w:val="both"/>
      </w:pPr>
      <w:r>
        <w:rPr>
          <w:rFonts w:eastAsia="標楷體" w:ascii="Times New Roman" w:hAnsi="Times New Roman"/>
          <w:b/>
          <w:sz w:val="24"/>
        </w:rPr>
        <w:t>1.　自動化跨輪測試平台之設計與實作：</w:t>
      </w:r>
      <w:r>
        <w:rPr>
          <w:rFonts w:eastAsia="標楷體" w:ascii="Times New Roman" w:hAnsi="Times New Roman"/>
          <w:b w:val="0"/>
          <w:sz w:val="24"/>
        </w:rPr>
        <w:t>整合 STM32 微控制器、IT6302 可程式電源供應器、IT8512A+ 電子負載與 INA226 高精度電流／電壓量測晶片，搭配 Python 自動化排程器與 GITT 開路電壓建表程式，構成一套可長時間無人值守、跨充放電輪次自動續接的測試平台。平台並具備量測校正（INA226 多點線性內插，全範圍誤差小於 0.21 mA）與安全互鎖（BenchInterlock）機制，確保長時間實驗的資料品質與設備安全。</w:t>
      </w:r>
    </w:p>
    <w:p>
      <w:pPr>
        <w:spacing w:lineRule="atLeast" w:line="480"/>
        <w:ind w:firstLine="480"/>
        <w:jc w:val="both"/>
      </w:pPr>
      <w:r>
        <w:rPr>
          <w:rFonts w:eastAsia="標楷體" w:ascii="Times New Roman" w:hAnsi="Times New Roman"/>
          <w:b/>
          <w:sz w:val="24"/>
        </w:rPr>
        <w:t>2.　三種 SOC 估測方法之 STM32 韌體實作：</w:t>
      </w:r>
      <w:r>
        <w:rPr>
          <w:rFonts w:eastAsia="標楷體" w:ascii="Times New Roman" w:hAnsi="Times New Roman"/>
          <w:b w:val="0"/>
          <w:sz w:val="24"/>
        </w:rPr>
        <w:t>將庫倫計數法、擴展卡爾曼濾波器與動態阻抗法依循一致的裸機韌體規範（USER_CODE 框架、100 µs 系統節拍）實作於同一顆 STM32 之上，使三種方法得以在完全相同的執行環境下運行，為後續的公平比較奠定基礎。</w:t>
      </w:r>
    </w:p>
    <w:p>
      <w:pPr>
        <w:spacing w:lineRule="atLeast" w:line="480"/>
        <w:ind w:firstLine="480"/>
        <w:jc w:val="both"/>
      </w:pPr>
      <w:r>
        <w:rPr>
          <w:rFonts w:eastAsia="標楷體" w:ascii="Times New Roman" w:hAnsi="Times New Roman"/>
          <w:b/>
          <w:sz w:val="24"/>
        </w:rPr>
        <w:t>3.　嵌入式環境下精度與資源之量化比較：</w:t>
      </w:r>
      <w:r>
        <w:rPr>
          <w:rFonts w:eastAsia="標楷體" w:ascii="Times New Roman" w:hAnsi="Times New Roman"/>
          <w:b w:val="0"/>
          <w:sz w:val="24"/>
        </w:rPr>
        <w:t>在相同電池、相同測試協定與相同硬體條件下，量測三種方法的估測精度（RMSE、最大誤差、收斂時間等）與嵌入式資源佔用（Flash 位元組、RAM 位元組、每次更新所需 CPU 週期），建立一份對等且可重現的效能對照表，並進一步給出不同精度需求與資源預算下的方法適用情境決策表。此一公平 benchmark 即為本論文最主要的學術與工程貢獻。</w:t>
      </w:r>
    </w:p>
    <w:p>
      <w:pPr>
        <w:spacing w:lineRule="atLeast" w:line="480"/>
        <w:ind w:firstLine="480"/>
        <w:jc w:val="both"/>
      </w:pPr>
      <w:r>
        <w:rPr>
          <w:rFonts w:eastAsia="標楷體" w:ascii="Times New Roman" w:hAnsi="Times New Roman"/>
          <w:b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lineRule="atLeast" w:line="360" w:before="240" w:after="120"/>
        <w:jc w:val="left"/>
      </w:pPr>
      <w:r>
        <w:rPr>
          <w:rFonts w:eastAsia="標楷體" w:ascii="Times New Roman" w:hAnsi="Times New Roman"/>
          <w:b/>
          <w:sz w:val="28"/>
        </w:rPr>
        <w:t>1.4　論文架構</w:t>
      </w:r>
    </w:p>
    <w:p>
      <w:pPr>
        <w:spacing w:lineRule="atLeast" w:line="480"/>
        <w:ind w:firstLine="480"/>
        <w:jc w:val="both"/>
      </w:pPr>
      <w:r>
        <w:rPr>
          <w:rFonts w:eastAsia="標楷體" w:ascii="Times New Roman" w:hAnsi="Times New Roman"/>
          <w:b w:val="0"/>
          <w:sz w:val="24"/>
        </w:rPr>
        <w:t>本論文共分為六章，各章內容安排如下：</w:t>
      </w:r>
    </w:p>
    <w:p>
      <w:pPr>
        <w:spacing w:lineRule="atLeast" w:line="480"/>
        <w:ind w:firstLine="480"/>
        <w:jc w:val="both"/>
      </w:pPr>
      <w:r>
        <w:rPr>
          <w:rFonts w:eastAsia="標楷體" w:ascii="Times New Roman" w:hAnsi="Times New Roman"/>
          <w:b/>
          <w:sz w:val="24"/>
        </w:rPr>
        <w:t>第一章　緒論：</w:t>
      </w:r>
      <w:r>
        <w:rPr>
          <w:rFonts w:eastAsia="標楷體" w:ascii="Times New Roman" w:hAnsi="Times New Roman"/>
          <w:b w:val="0"/>
          <w:sz w:val="24"/>
        </w:rPr>
        <w:t>說明研究背景、動機、目的與貢獻，並界定研究範圍與限制。</w:t>
      </w:r>
    </w:p>
    <w:p>
      <w:pPr>
        <w:spacing w:lineRule="atLeast" w:line="480"/>
        <w:ind w:firstLine="480"/>
        <w:jc w:val="both"/>
      </w:pPr>
      <w:r>
        <w:rPr>
          <w:rFonts w:eastAsia="標楷體" w:ascii="Times New Roman" w:hAnsi="Times New Roman"/>
          <w:b/>
          <w:sz w:val="24"/>
        </w:rPr>
        <w:t>第二章　文獻回顧：</w:t>
      </w:r>
      <w:r>
        <w:rPr>
          <w:rFonts w:eastAsia="標楷體" w:ascii="Times New Roman" w:hAnsi="Times New Roman"/>
          <w:b w:val="0"/>
          <w:sz w:val="24"/>
        </w:rPr>
        <w:t>回顧鋰離子電池的基本原理與等效電路模型，並依分類整理庫倫計數、OCV 查表、卡爾曼濾波族、動態阻抗法與資料驅動法等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sz w:val="24"/>
        </w:rPr>
        <w:t>第三章　嵌入式量測與測試平台：</w:t>
      </w:r>
      <w:r>
        <w:rPr>
          <w:rFonts w:eastAsia="標楷體" w:ascii="Times New Roman" w:hAnsi="Times New Roman"/>
          <w:b w:val="0"/>
          <w:sz w:val="24"/>
        </w:rPr>
        <w:t>詳述本研究所建構之自動化測試平台，包含系統架構、STM32 韌體骨架、INA226 多點校正、電源與電子負載之 SCPI 自動化控制、安全互鎖機制、跨輪測試協定，以及作為 EKF 觀測方程依據的 GITT pseudo-OCV 建表流程。</w:t>
      </w:r>
    </w:p>
    <w:p>
      <w:pPr>
        <w:spacing w:lineRule="atLeast" w:line="480"/>
        <w:ind w:firstLine="480"/>
        <w:jc w:val="both"/>
      </w:pPr>
      <w:r>
        <w:rPr>
          <w:rFonts w:eastAsia="標楷體" w:ascii="Times New Roman" w:hAnsi="Times New Roman"/>
          <w:b/>
          <w:sz w:val="24"/>
        </w:rPr>
        <w:t>第四章　SOC 估測方法之實作與比較：</w:t>
      </w:r>
      <w:r>
        <w:rPr>
          <w:rFonts w:eastAsia="標楷體" w:ascii="Times New Roman" w:hAnsi="Times New Roman"/>
          <w:b w:val="0"/>
          <w:sz w:val="24"/>
        </w:rPr>
        <w:t>本論文之核心。以「原理、演算法、STM32 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sz w:val="24"/>
        </w:rPr>
        <w:t>第五章　系統整合與性能評估：</w:t>
      </w:r>
      <w:r>
        <w:rPr>
          <w:rFonts w:eastAsia="標楷體" w:ascii="Times New Roman" w:hAnsi="Times New Roman"/>
          <w:b w:val="0"/>
          <w:sz w:val="24"/>
        </w:rPr>
        <w:t>探討三種方法並行於同一 MCU 的整合策略、100 µs 節拍內的 CPU 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sz w:val="24"/>
        </w:rPr>
        <w:t>第六章　結論與未來工作：</w:t>
      </w:r>
      <w:r>
        <w:rPr>
          <w:rFonts w:eastAsia="標楷體" w:ascii="Times New Roman" w:hAnsi="Times New Roman"/>
          <w:b w:val="0"/>
          <w:sz w:val="24"/>
        </w:rPr>
        <w:t>總結本論文之主要貢獻，提出 SOC 方法適用情境決策表，並就單一電池、室溫與化學體系等限制，展望 SOH 估測延伸、LFP 遲滯處理與資料驅動融合等未來研究方向。</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sz w:val="24"/>
        </w:rPr>
        <w:t>[1] J.-H. Lee, H.-S. Kim, and I.-S. Lee, “State of Charge Estimation and State of Health Diagnostic Method Using Multilayer Neural Networks,” School of Electronic and Electrical Engineering, Kyungpook National University, Korea.</w:t>
      </w:r>
    </w:p>
    <w:p>
      <w:pPr>
        <w:spacing w:lineRule="atLeast" w:line="480"/>
        <w:ind w:left="480" w:hanging="480"/>
      </w:pPr>
      <w:r>
        <w:rPr>
          <w:rFonts w:eastAsia="標楷體" w:ascii="Times New Roman" w:hAnsi="Times New Roman"/>
          <w:b w:val="0"/>
          <w:sz w:val="24"/>
        </w:rPr>
        <w:t>[2] C.-H. Lin, C.-M. Wang, and C.-Y. Ho, “Implementation of State-of-Charge and State-of-Health Estimation for Lithium-Ion Batteries,” 2016.</w:t>
      </w:r>
    </w:p>
    <w:p>
      <w:pPr>
        <w:spacing w:lineRule="atLeast" w:line="480"/>
        <w:ind w:left="480" w:hanging="480"/>
      </w:pPr>
      <w:r>
        <w:rPr>
          <w:rFonts w:eastAsia="標楷體" w:ascii="Times New Roman" w:hAnsi="Times New Roman"/>
          <w:b w:val="0"/>
          <w:sz w:val="24"/>
        </w:rPr>
        <w:t>[3] G. L. Bressanini, T. D. C. Busarello, and A. Péres, “Design and Implementation of Lead-Acid Battery State-of-Health and State-of-Charge Measurements,” in Proc. IEEE, 2017.</w:t>
      </w:r>
    </w:p>
    <w:p>
      <w:pPr>
        <w:pStyle w:val="1"/>
      </w:pPr>
      <w:r>
        <w:rPr>
          <w:rFonts w:ascii="Times New Roman" w:hAnsi="Times New Roman" w:eastAsia="標楷體"/>
          <w:b/>
          <w:sz w:val="32"/>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V_t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V_t = V_OC(SOC) - I · R_0 - V_pol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V_OC(SOC)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I · R_0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R_0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V_pol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[2]。</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 [2]。因此，多數實用的 SOC 估測方法都需要藉助一個能描述「電流如何影響端電壓動態」的電池模型，將量測到的端電壓「還原」成可用以推估 SOC 的資訊，這即是等效電路模型（Equivalent Circuit Model, ECM）的角色。</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V_OC(SOC)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R_0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V_t = V_OC(SOC) - I · R_0</w:t>
      </w:r>
    </w:p>
    <w:p>
      <w:pPr>
        <w:spacing w:lineRule="atLeast" w:line="480"/>
        <w:ind w:firstLine="480"/>
        <w:jc w:val="both"/>
      </w:pPr>
      <w:r>
        <w:rPr>
          <w:rFonts w:eastAsia="標楷體" w:ascii="Times New Roman" w:hAnsi="Times New Roman"/>
          <w:b w:val="0"/>
          <w:i w:val="0"/>
          <w:sz w:val="24"/>
        </w:rPr>
        <w:t xml:space="preserve">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w:t>
      </w:r>
      <w:r>
        <w:rPr>
          <w:rFonts w:eastAsia="標楷體" w:ascii="Times New Roman" w:hAnsi="Times New Roman"/>
          <w:b/>
          <w:i w:val="0"/>
          <w:color w:val="C00000"/>
          <w:sz w:val="24"/>
        </w:rPr>
        <w:t>[待補引用]</w:t>
      </w:r>
      <w:r>
        <w:rPr>
          <w:rFonts w:eastAsia="標楷體" w:ascii="Times New Roman" w:hAnsi="Times New Roman"/>
          <w:b w:val="0"/>
          <w:i w:val="0"/>
          <w:sz w:val="24"/>
        </w:rPr>
        <w:t>。</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R_1</w:t>
      </w:r>
      <w:r>
        <w:rPr>
          <w:rFonts w:eastAsia="標楷體" w:ascii="Times New Roman" w:hAnsi="Times New Roman"/>
          <w:b w:val="0"/>
          <w:i w:val="0"/>
          <w:sz w:val="24"/>
        </w:rPr>
        <w:t xml:space="preserve"> 與極化電容 </w:t>
      </w:r>
      <w:r>
        <w:rPr>
          <w:rFonts w:eastAsia="標楷體" w:ascii="Times New Roman" w:hAnsi="Times New Roman"/>
          <w:b w:val="0"/>
          <w:i w:val="0"/>
          <w:sz w:val="24"/>
        </w:rPr>
        <w:t>C_1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τ_1 = R_1 C_1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V̇_1 = -(1)/(R_1 C_1) V_1 + (1)/(C_1) I V_t = V_OC(SOC) - I · R_0 - V_1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w:t>
      </w:r>
      <w:r>
        <w:rPr>
          <w:rFonts w:eastAsia="標楷體" w:ascii="Times New Roman" w:hAnsi="Times New Roman"/>
          <w:b/>
          <w:i w:val="0"/>
          <w:color w:val="C00000"/>
          <w:sz w:val="24"/>
        </w:rPr>
        <w:t>[待補引用]</w:t>
      </w:r>
      <w:r>
        <w:rPr>
          <w:rFonts w:eastAsia="標楷體" w:ascii="Times New Roman" w:hAnsi="Times New Roman"/>
          <w:b w:val="0"/>
          <w:i w:val="0"/>
          <w:sz w:val="24"/>
        </w:rPr>
        <w:t xml:space="preserve">。其狀態通常取為 </w:t>
      </w:r>
      <w:r>
        <w:rPr>
          <w:rFonts w:eastAsia="標楷體" w:ascii="Times New Roman" w:hAnsi="Times New Roman"/>
          <w:b w:val="0"/>
          <w:i w:val="0"/>
          <w:sz w:val="24"/>
        </w:rPr>
        <w:t>[SOC, V_1]ᵀ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τ_1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τ_2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w:t>
      </w:r>
      <w:r>
        <w:rPr>
          <w:rFonts w:eastAsia="標楷體" w:ascii="Times New Roman" w:hAnsi="Times New Roman"/>
          <w:b/>
          <w:i w:val="0"/>
          <w:color w:val="C00000"/>
          <w:sz w:val="24"/>
        </w:rPr>
        <w:t>[待補引用]</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[2]。文獻中的 SOC 估測方法眾多，依其推估原理大致可分為三類：（一）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SOC（如動態阻抗法）；（三）</w:t>
      </w:r>
      <w:r>
        <w:rPr>
          <w:rFonts w:eastAsia="標楷體" w:ascii="Times New Roman" w:hAnsi="Times New Roman"/>
          <w:b/>
          <w:i w:val="0"/>
          <w:sz w:val="24"/>
        </w:rPr>
        <w:t>資料驅動法</w:t>
      </w:r>
      <w:r>
        <w:rPr>
          <w:rFonts w:eastAsia="標楷體" w:ascii="Times New Roman" w:hAnsi="Times New Roman"/>
          <w:b w:val="0"/>
          <w:i w:val="0"/>
          <w:sz w:val="24"/>
        </w:rPr>
        <w:t>，以類神經網路等機器學習模型由量測資料直接學習 SOC 映射。本節依此分類逐一回顧，並在每種方法後標註其在精度、強健性與嵌入式資源上的特性，為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SOC(t) = SOC(t_0) - (1)/(C_rated) ∫_t_0^t η ·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η</w:t>
      </w:r>
      <w:r>
        <w:rPr>
          <w:rFonts w:eastAsia="標楷體" w:ascii="Times New Roman" w:hAnsi="Times New Roman"/>
          <w:b w:val="0"/>
          <w:i w:val="0"/>
          <w:sz w:val="24"/>
        </w:rPr>
        <w:t xml:space="preserve"> 為庫倫效率，</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為電流（放電為正）[3]。庫倫計數法的優點是原理單純、運算量極低、瞬時動態響應好，且在電流量測準確時短時間內精度甚高，因此在本論文中兼任三種方法比較的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[1], [3]：</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SOC(t_0)</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庫倫效率與容量衰退</w:t>
      </w:r>
      <w:r>
        <w:rPr>
          <w:rFonts w:eastAsia="標楷體" w:ascii="Times New Roman" w:hAnsi="Times New Roman"/>
          <w:b w:val="0"/>
          <w:i w:val="0"/>
          <w:sz w:val="24"/>
        </w:rPr>
        <w:t>：</w:t>
      </w:r>
      <w:r>
        <w:rPr>
          <w:rFonts w:eastAsia="標楷體" w:ascii="Times New Roman" w:hAnsi="Times New Roman"/>
          <w:b w:val="0"/>
          <w:i w:val="0"/>
          <w:sz w:val="24"/>
        </w:rPr>
        <w:t>η</w:t>
      </w:r>
      <w:r>
        <w:rPr>
          <w:rFonts w:eastAsia="標楷體" w:ascii="Times New Roman" w:hAnsi="Times New Roman"/>
          <w:b w:val="0"/>
          <w:i w:val="0"/>
          <w:sz w:val="24"/>
        </w:rPr>
        <w:t xml:space="preserve"> 與 </w:t>
      </w:r>
      <w:r>
        <w:rPr>
          <w:rFonts w:eastAsia="標楷體" w:ascii="Times New Roman" w:hAnsi="Times New Roman"/>
          <w:b w:val="0"/>
          <w:i w:val="0"/>
          <w:sz w:val="24"/>
        </w:rPr>
        <w:t>C_rated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 [1]：</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視為動態系統的隱藏狀態，透過「模型預測」與「量測更新」兩階段遞迴，在過程雜訊與量測雜訊並存下對狀態做最小均方誤差估測。將等效電路模型寫成離散狀態空間：</w:t>
      </w:r>
    </w:p>
    <w:p>
      <w:pPr>
        <w:spacing w:before="120" w:after="120" w:lineRule="atLeast" w:line="480"/>
        <w:jc w:val="center"/>
      </w:pPr>
      <w:r>
        <w:rPr>
          <w:rFonts w:eastAsia="標楷體" w:ascii="Cambria Math" w:hAnsi="Cambria Math"/>
          <w:sz w:val="24"/>
        </w:rPr>
        <w:t>x_k+1 = A x_k + B u_k + w_k y_k = g(x_k, u_k) + v_k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 xml:space="preserve">：以無跡轉換（unscented transform）取一組 sigma 點傳遞分佈，避免顯式求雅可比，於強非線性下精度通常優於 EKF，但運算量較高 </w:t>
      </w:r>
      <w:r>
        <w:rPr>
          <w:rFonts w:eastAsia="標楷體" w:ascii="Times New Roman" w:hAnsi="Times New Roman"/>
          <w:b/>
          <w:i w:val="0"/>
          <w:color w:val="C00000"/>
          <w:sz w:val="24"/>
        </w:rPr>
        <w:t>[待補引用]</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 Lin 2016）</w:t>
      </w:r>
    </w:p>
    <w:p>
      <w:pPr>
        <w:spacing w:lineRule="atLeast" w:line="480"/>
        <w:ind w:firstLine="480"/>
        <w:jc w:val="both"/>
      </w:pPr>
      <w:r>
        <w:rPr>
          <w:rFonts w:eastAsia="標楷體" w:ascii="Times New Roman" w:hAnsi="Times New Roman"/>
          <w:b w:val="0"/>
          <w:i w:val="0"/>
          <w:sz w:val="24"/>
        </w:rPr>
        <w:t>動態阻抗法由 Lin 等人提出 [2]，其出發點是避開「需初始值」與「需長時間靜置」兩大限制，改以電池在工作過程中端電壓對電流的瞬時變化率推估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[2]：</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[2]。</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[2]。本論文選其為比較對象之一，且現有的跨輪測試協定已對四種放電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需補充說明者，Lin 等人原文同時提出以「投影法（Projection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SOH = cos(tan⁻¹ a_now) / cos(tan⁻¹ a_origin) × 100%</w:t>
      </w:r>
      <w:r>
        <w:rPr>
          <w:rFonts w:eastAsia="標楷體" w:ascii="Times New Roman" w:hAnsi="Times New Roman"/>
          <w:b w:val="0"/>
          <w:i w:val="0"/>
          <w:sz w:val="24"/>
        </w:rPr>
        <w:t>，並於 ICR18650-22P 電池上量得新品、老化電池 1、老化電池 2 之可用容量分別約為標稱的 93.9%、89.1%、84.8% [2]。惟本論文範圍聚焦 SOC，投影法 SOH 估測列為未來工作（第六章），此處僅為完整呈現該文獻方法而並陳。</w:t>
      </w:r>
    </w:p>
    <w:p>
      <w:pPr>
        <w:spacing w:before="160" w:after="80" w:lineRule="atLeast" w:line="360"/>
        <w:jc w:val="left"/>
      </w:pPr>
      <w:r>
        <w:rPr>
          <w:rFonts w:eastAsia="標楷體" w:ascii="Times New Roman" w:hAnsi="Times New Roman"/>
          <w:b/>
          <w:i w:val="0"/>
          <w:sz w:val="26"/>
        </w:rPr>
        <w:t>2.2.5 資料驅動法（神經網路，僅文獻討論）</w:t>
      </w:r>
    </w:p>
    <w:p>
      <w:pPr>
        <w:spacing w:lineRule="atLeast" w:line="480"/>
        <w:ind w:firstLine="480"/>
        <w:jc w:val="both"/>
      </w:pPr>
      <w:r>
        <w:rPr>
          <w:rFonts w:eastAsia="標楷體" w:ascii="Times New Roman" w:hAnsi="Times New Roman"/>
          <w:b w:val="0"/>
          <w:i w:val="0"/>
          <w:sz w:val="24"/>
        </w:rPr>
        <w:t>資料驅動法不依賴顯式電池模型，而以機器學習模型直接由量測資料學習「輸入特徵 → SOC」的映射。Lee 等人提出以多層神經網路（Multilayer Neural Network, MNN）同時進行 SOC 估測與 SOH 診斷 [1]：其建立一個 SOH 診斷模型先將電池狀態分為「正常」「警告」「故障」三類，再依診斷結果切換對應的 SOC 估測專家模型——共使用四個 MNN（一個 SOH 診斷、三個 SOC 估測）。各模型結構與訓練設定整理如下：</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53"/>
        <w:gridCol w:w="2457"/>
        <w:gridCol w:w="5090"/>
      </w:tblGrid>
      <w:tr>
        <w:tc>
          <w:tcPr>
            <w:tcW w:type="dxa" w:w="1053"/>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457"/>
            <w:shd w:val="clear" w:color="auto" w:fill="D9E2F3"/>
            <w:vAlign w:val="center"/>
          </w:tcPr>
          <w:p>
            <w:pPr>
              <w:spacing w:before="20" w:after="20" w:lineRule="atLeast" w:line="280"/>
              <w:jc w:val="center"/>
            </w:pPr>
            <w:r>
              <w:rPr>
                <w:rFonts w:eastAsia="標楷體" w:ascii="Times New Roman" w:hAnsi="Times New Roman"/>
                <w:b/>
                <w:i w:val="0"/>
                <w:sz w:val="21"/>
              </w:rPr>
              <w:t>結構（輸入–隱藏層–輸出）</w:t>
            </w:r>
          </w:p>
        </w:tc>
        <w:tc>
          <w:tcPr>
            <w:tcW w:type="dxa" w:w="5090"/>
            <w:shd w:val="clear" w:color="auto" w:fill="D9E2F3"/>
            <w:vAlign w:val="center"/>
          </w:tcPr>
          <w:p>
            <w:pPr>
              <w:spacing w:before="20" w:after="20" w:lineRule="atLeast" w:line="280"/>
              <w:jc w:val="center"/>
            </w:pPr>
            <w:r>
              <w:rPr>
                <w:rFonts w:eastAsia="標楷體" w:ascii="Times New Roman" w:hAnsi="Times New Roman"/>
                <w:b/>
                <w:i w:val="0"/>
                <w:sz w:val="21"/>
              </w:rPr>
              <w:t>輸入特徵</w:t>
            </w:r>
          </w:p>
        </w:tc>
      </w:tr>
      <w:tr>
        <w:tc>
          <w:tcPr>
            <w:tcW w:type="dxa" w:w="1053"/>
            <w:vAlign w:val="center"/>
          </w:tcPr>
          <w:p>
            <w:pPr>
              <w:spacing w:before="20" w:after="20" w:lineRule="atLeast" w:line="280"/>
              <w:jc w:val="left"/>
            </w:pPr>
            <w:r>
              <w:rPr>
                <w:rFonts w:eastAsia="標楷體" w:ascii="Times New Roman" w:hAnsi="Times New Roman"/>
                <w:b w:val="0"/>
                <w:i w:val="0"/>
                <w:sz w:val="21"/>
              </w:rPr>
              <w:t>SOH 診斷</w:t>
            </w:r>
          </w:p>
        </w:tc>
        <w:tc>
          <w:tcPr>
            <w:tcW w:type="dxa" w:w="2457"/>
            <w:vAlign w:val="center"/>
          </w:tcPr>
          <w:p>
            <w:pPr>
              <w:spacing w:before="20" w:after="20" w:lineRule="atLeast" w:line="280"/>
              <w:jc w:val="left"/>
            </w:pPr>
            <w:r>
              <w:rPr>
                <w:rFonts w:eastAsia="標楷體" w:ascii="Times New Roman" w:hAnsi="Times New Roman"/>
                <w:b w:val="0"/>
                <w:i w:val="0"/>
                <w:sz w:val="21"/>
              </w:rPr>
              <w:t>3600–256–256–3</w:t>
            </w:r>
          </w:p>
        </w:tc>
        <w:tc>
          <w:tcPr>
            <w:tcW w:type="dxa" w:w="5090"/>
            <w:vAlign w:val="center"/>
          </w:tcPr>
          <w:p>
            <w:pPr>
              <w:spacing w:before="20" w:after="20" w:lineRule="atLeast" w:line="280"/>
              <w:jc w:val="left"/>
            </w:pPr>
            <w:r>
              <w:rPr>
                <w:rFonts w:eastAsia="標楷體" w:ascii="Times New Roman" w:hAnsi="Times New Roman"/>
                <w:b w:val="0"/>
                <w:i w:val="0"/>
                <w:sz w:val="21"/>
              </w:rPr>
              <w:t>一個週期的充電電壓資料（3600 點），輸出三類狀態</w:t>
            </w:r>
          </w:p>
        </w:tc>
      </w:tr>
      <w:tr>
        <w:tc>
          <w:tcPr>
            <w:tcW w:type="dxa" w:w="1053"/>
            <w:vAlign w:val="center"/>
          </w:tcPr>
          <w:p>
            <w:pPr>
              <w:spacing w:before="20" w:after="20" w:lineRule="atLeast" w:line="280"/>
              <w:jc w:val="left"/>
            </w:pPr>
            <w:r>
              <w:rPr>
                <w:rFonts w:eastAsia="標楷體" w:ascii="Times New Roman" w:hAnsi="Times New Roman"/>
                <w:b w:val="0"/>
                <w:i w:val="0"/>
                <w:sz w:val="21"/>
              </w:rPr>
              <w:t>SOC 估測</w:t>
            </w:r>
          </w:p>
        </w:tc>
        <w:tc>
          <w:tcPr>
            <w:tcW w:type="dxa" w:w="2457"/>
            <w:vAlign w:val="center"/>
          </w:tcPr>
          <w:p>
            <w:pPr>
              <w:spacing w:before="20" w:after="20" w:lineRule="atLeast" w:line="280"/>
              <w:jc w:val="left"/>
            </w:pPr>
            <w:r>
              <w:rPr>
                <w:rFonts w:eastAsia="標楷體" w:ascii="Times New Roman" w:hAnsi="Times New Roman"/>
                <w:b w:val="0"/>
                <w:i w:val="0"/>
                <w:sz w:val="21"/>
              </w:rPr>
              <w:t>6–150–150–101</w:t>
            </w:r>
          </w:p>
        </w:tc>
        <w:tc>
          <w:tcPr>
            <w:tcW w:type="dxa" w:w="5090"/>
            <w:vAlign w:val="center"/>
          </w:tcPr>
          <w:p>
            <w:pPr>
              <w:spacing w:before="20" w:after="20" w:lineRule="atLeast" w:line="280"/>
              <w:jc w:val="left"/>
            </w:pPr>
            <w:r>
              <w:rPr>
                <w:rFonts w:eastAsia="標楷體" w:ascii="Times New Roman" w:hAnsi="Times New Roman"/>
                <w:b w:val="0"/>
                <w:i w:val="0"/>
                <w:sz w:val="21"/>
              </w:rPr>
              <w:t>6 維輸入，輸出 101 維 SOC 機率（0–100%）</w:t>
            </w:r>
          </w:p>
        </w:tc>
      </w:tr>
    </w:tbl>
    <w:p>
      <w:pPr>
        <w:spacing w:lineRule="atLeast" w:line="480"/>
        <w:ind w:firstLine="480"/>
        <w:jc w:val="both"/>
      </w:pPr>
      <w:r>
        <w:rPr>
          <w:rFonts w:eastAsia="標楷體" w:ascii="Times New Roman" w:hAnsi="Times New Roman"/>
          <w:b w:val="0"/>
          <w:i w:val="0"/>
          <w:sz w:val="24"/>
        </w:rPr>
        <w:t xml:space="preserve">訓練採 RMSprop 優化器（衰減率 </w:t>
      </w:r>
      <w:r>
        <w:rPr>
          <w:rFonts w:eastAsia="標楷體" w:ascii="Times New Roman" w:hAnsi="Times New Roman"/>
          <w:b w:val="0"/>
          <w:i w:val="0"/>
          <w:sz w:val="24"/>
        </w:rPr>
        <w:t>γ = 0.9</w:t>
      </w:r>
      <w:r>
        <w:rPr>
          <w:rFonts w:eastAsia="標楷體" w:ascii="Times New Roman" w:hAnsi="Times New Roman"/>
          <w:b w:val="0"/>
          <w:i w:val="0"/>
          <w:sz w:val="24"/>
        </w:rPr>
        <w:t xml:space="preserve">、學習率 </w:t>
      </w:r>
      <w:r>
        <w:rPr>
          <w:rFonts w:eastAsia="標楷體" w:ascii="Times New Roman" w:hAnsi="Times New Roman"/>
          <w:b w:val="0"/>
          <w:i w:val="0"/>
          <w:sz w:val="24"/>
        </w:rPr>
        <w:t>α = 0.001</w:t>
      </w:r>
      <w:r>
        <w:rPr>
          <w:rFonts w:eastAsia="標楷體" w:ascii="Times New Roman" w:hAnsi="Times New Roman"/>
          <w:b w:val="0"/>
          <w:i w:val="0"/>
          <w:sz w:val="24"/>
        </w:rPr>
        <w:t>），隱藏層用 ReLU、輸出層用 Softmax（將輸出轉為類別機率）[1]。該文獻於 40°C 下對電池做放電實驗並依容量保持率分為 Pattern 1–7（正常／警告／故障），結果顯示「依 SOH 診斷切換專家模型」的平均絕對誤差（MAE）顯著低於單一通用模型，SOH 診斷準確率達 100% [1]。</w:t>
      </w:r>
    </w:p>
    <w:p>
      <w:pPr>
        <w:spacing w:lineRule="atLeast" w:line="480"/>
        <w:ind w:firstLine="480"/>
        <w:jc w:val="both"/>
      </w:pPr>
      <w:r>
        <w:rPr>
          <w:rFonts w:eastAsia="標楷體" w:ascii="Times New Roman" w:hAnsi="Times New Roman"/>
          <w:b w:val="0"/>
          <w:i w:val="0"/>
          <w:sz w:val="24"/>
        </w:rPr>
        <w:t>然而資料驅動法用於本論文情境有明顯不利因素，故僅列為文獻討論而</w:t>
      </w:r>
      <w:r>
        <w:rPr>
          <w:rFonts w:eastAsia="標楷體" w:ascii="Times New Roman" w:hAnsi="Times New Roman"/>
          <w:b/>
          <w:i w:val="0"/>
          <w:sz w:val="24"/>
        </w:rPr>
        <w:t>不予實作</w:t>
      </w:r>
      <w:r>
        <w:rPr>
          <w:rFonts w:eastAsia="標楷體" w:ascii="Times New Roman" w:hAnsi="Times New Roman"/>
          <w:b w:val="0"/>
          <w:i w:val="0"/>
          <w:sz w:val="24"/>
        </w:rPr>
        <w:t xml:space="preserve"> [1]：</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資料與訓練成本高</w:t>
      </w:r>
      <w:r>
        <w:rPr>
          <w:rFonts w:eastAsia="標楷體" w:ascii="Times New Roman" w:hAnsi="Times New Roman"/>
          <w:b w:val="0"/>
          <w:i w:val="0"/>
          <w:sz w:val="24"/>
        </w:rPr>
        <w:t>：需大量涵蓋不同老化與工況的標註資料及離線訓練算力。</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嵌入式部署困難</w:t>
      </w:r>
      <w:r>
        <w:rPr>
          <w:rFonts w:eastAsia="標楷體" w:ascii="Times New Roman" w:hAnsi="Times New Roman"/>
          <w:b w:val="0"/>
          <w:i w:val="0"/>
          <w:sz w:val="24"/>
        </w:rPr>
        <w:t>：上述網路（如 3600×256×256 全連接）的權重量與每次推論的乘加運算遠超本論文目標 MCU 的 Flash／算力預算，與本文「嵌入式資源約束」主軸相悖。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黑箱與泛化</w:t>
      </w:r>
      <w:r>
        <w:rPr>
          <w:rFonts w:eastAsia="標楷體" w:ascii="Times New Roman" w:hAnsi="Times New Roman"/>
          <w:b w:val="0"/>
          <w:i w:val="0"/>
          <w:sz w:val="24"/>
        </w:rPr>
        <w:t>：模型可解釋性低，對訓練分佈外的工況泛化能力存疑。</w:t>
      </w:r>
    </w:p>
    <w:p>
      <w:pPr>
        <w:spacing w:lineRule="atLeast" w:line="480"/>
        <w:ind w:firstLine="480"/>
        <w:jc w:val="both"/>
      </w:pPr>
      <w:r>
        <w:rPr>
          <w:rFonts w:eastAsia="標楷體" w:ascii="Times New Roman" w:hAnsi="Times New Roman"/>
          <w:b w:val="0"/>
          <w:i w:val="0"/>
          <w:sz w:val="24"/>
        </w:rPr>
        <w:t>因此本論文將神經網路法定位為對照基準上的「資料驅動代表」，於文獻層面討論其原理與成果，但不納入第四章的 STM32 實作與資源比較。</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 xml:space="preserve">的混合策略：以庫倫計數提供良好的瞬時動態，並在電池進入靜置（電流趨近零）時以 OCV 查表修正其累積漂移，部分產品再輔以簡化的電壓-電流模型補償極化 </w:t>
      </w:r>
      <w:r>
        <w:rPr>
          <w:rFonts w:eastAsia="標楷體" w:ascii="Times New Roman" w:hAnsi="Times New Roman"/>
          <w:b/>
          <w:i w:val="0"/>
          <w:color w:val="C00000"/>
          <w:sz w:val="24"/>
        </w:rPr>
        <w:t>[待補引用]</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 OCV 查表（獨立方法）與神經網路法。選擇與排除的依據整理如下表（對應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工業事實標準；可自初值錯誤收斂；以第三章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Lin 2016 主推；無須初值、即時可算、嵌入式友善；現有 dV/dI 擾動數據可直接利用</w:t>
            </w:r>
          </w:p>
        </w:tc>
      </w:tr>
      <w:tr>
        <w:tc>
          <w:tcPr>
            <w:tcW w:type="dxa" w:w="988"/>
            <w:vAlign w:val="center"/>
          </w:tcPr>
          <w:p>
            <w:pPr>
              <w:spacing w:before="20" w:after="20" w:lineRule="atLeast" w:line="280"/>
              <w:jc w:val="left"/>
            </w:pPr>
            <w:r>
              <w:rPr>
                <w:rFonts w:eastAsia="標楷體" w:ascii="Times New Roman" w:hAnsi="Times New Roman"/>
                <w:b w:val="0"/>
                <w:i w:val="0"/>
                <w:sz w:val="21"/>
              </w:rPr>
              <w:t>神經網路</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資料驅動</w:t>
            </w:r>
          </w:p>
        </w:tc>
        <w:tc>
          <w:tcPr>
            <w:tcW w:type="dxa" w:w="6412"/>
            <w:vAlign w:val="center"/>
          </w:tcPr>
          <w:p>
            <w:pPr>
              <w:spacing w:before="20" w:after="20" w:lineRule="atLeast" w:line="280"/>
              <w:jc w:val="left"/>
            </w:pPr>
            <w:r>
              <w:rPr>
                <w:rFonts w:eastAsia="標楷體" w:ascii="Times New Roman" w:hAnsi="Times New Roman"/>
                <w:b w:val="0"/>
                <w:i w:val="0"/>
                <w:sz w:val="21"/>
              </w:rPr>
              <w:t>訓練資料／算力需求高、權重量與推論成本超出 MCU 預算；僅作文獻討論</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lineRule="atLeast" w:line="260" w:before="12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            上位機 (Python orchestrator)     │</w:t>
      </w:r>
    </w:p>
    <w:p>
      <w:pPr>
        <w:spacing w:lineRule="atLeast" w:line="260" w:before="0" w:after="0"/>
        <w:ind w:left="120"/>
        <w:jc w:val="left"/>
        <w:shd w:val="clear" w:color="auto" w:fill="F2F2F2"/>
      </w:pPr>
      <w:r>
        <w:rPr>
          <w:rFonts w:eastAsia="標楷體" w:ascii="Consolas" w:hAnsi="Consolas"/>
          <w:sz w:val="19"/>
        </w:rPr>
        <w:t xml:space="preserve">                    │   round_runner.py / gitt_ocv_runner.py     │</w:t>
      </w:r>
    </w:p>
    <w:p>
      <w:pPr>
        <w:spacing w:lineRule="atLeast" w:line="260" w:before="0" w:after="0"/>
        <w:ind w:left="120"/>
        <w:jc w:val="left"/>
        <w:shd w:val="clear" w:color="auto" w:fill="F2F2F2"/>
      </w:pPr>
      <w:r>
        <w:rPr>
          <w:rFonts w:eastAsia="標楷體" w:ascii="Consolas" w:hAnsi="Consolas"/>
          <w:sz w:val="19"/>
        </w:rPr>
        <w:t xml:space="preserve">                    │   BenchInterlock · SafetyGuard · CycleLog   │</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SCPI/USB  │      SCPI/USB │       VCP/USB │</w:t>
      </w:r>
    </w:p>
    <w:p>
      <w:pPr>
        <w:spacing w:lineRule="atLeast" w:line="260" w:before="0" w:after="0"/>
        <w:ind w:left="120"/>
        <w:jc w:val="left"/>
        <w:shd w:val="clear" w:color="auto" w:fill="F2F2F2"/>
      </w:pPr>
      <w:r>
        <w:rPr>
          <w:rFonts w:eastAsia="標楷體" w:ascii="Consolas" w:hAnsi="Consolas"/>
          <w:sz w:val="19"/>
        </w:rPr>
        <w:t xml:space="preserve">                  9600 8N1  │      9600 8N1 │     115200 8N1│</w:t>
      </w:r>
    </w:p>
    <w:p>
      <w:pPr>
        <w:spacing w:lineRule="atLeast" w:line="260" w:before="0" w:after="0"/>
        <w:ind w:left="120"/>
        <w:jc w:val="left"/>
        <w:shd w:val="clear" w:color="auto" w:fill="F2F2F2"/>
      </w:pPr>
      <w:r>
        <w:rPr>
          <w:rFonts w:eastAsia="標楷體" w:ascii="Consolas" w:hAnsi="Consolas"/>
          <w:sz w:val="19"/>
        </w:rPr>
        <w:t xml:space="preserve">              ┌─────────────┴──┐  ┌─────────┴──────┐  ┌─────┴───────────┐</w:t>
      </w:r>
    </w:p>
    <w:p>
      <w:pPr>
        <w:spacing w:lineRule="atLeast" w:line="260" w:before="0" w:after="0"/>
        <w:ind w:left="120"/>
        <w:jc w:val="left"/>
        <w:shd w:val="clear" w:color="auto" w:fill="F2F2F2"/>
      </w:pPr>
      <w:r>
        <w:rPr>
          <w:rFonts w:eastAsia="標楷體" w:ascii="Consolas" w:hAnsi="Consolas"/>
          <w:sz w:val="19"/>
        </w:rPr>
        <w:t xml:space="preserve">              │ IT6302 直流電源 │  │ IT8512A+ 電子負載│  │ STM32G071 + INA226│</w:t>
      </w:r>
    </w:p>
    <w:p>
      <w:pPr>
        <w:spacing w:lineRule="atLeast" w:line="260" w:before="0" w:after="0"/>
        <w:ind w:left="120"/>
        <w:jc w:val="left"/>
        <w:shd w:val="clear" w:color="auto" w:fill="F2F2F2"/>
      </w:pPr>
      <w:r>
        <w:rPr>
          <w:rFonts w:eastAsia="標楷體" w:ascii="Consolas" w:hAnsi="Consolas"/>
          <w:sz w:val="19"/>
        </w:rPr>
        <w:t xml:space="preserve">              │ (充電路徑 CC-CV) │  │ (放電路徑 CC)   │  │ (嵌入式估測標的)  │</w:t>
      </w:r>
    </w:p>
    <w:p>
      <w:pPr>
        <w:spacing w:lineRule="atLeast" w:line="260" w:before="0" w:after="0"/>
        <w:ind w:left="120"/>
        <w:jc w:val="left"/>
        <w:shd w:val="clear" w:color="auto" w:fill="F2F2F2"/>
      </w:pPr>
      <w:r>
        <w:rPr>
          <w:rFonts w:eastAsia="標楷體" w:ascii="Consolas" w:hAnsi="Consolas"/>
          <w:sz w:val="19"/>
        </w:rPr>
        <w:t xml:space="preserve">              └───────┬─────────┘  └────────┬───────┘  └────────┬────────┘</w:t>
      </w:r>
    </w:p>
    <w:p>
      <w:pPr>
        <w:spacing w:lineRule="atLeast" w:line="260" w:before="0" w:after="0"/>
        <w:ind w:left="120"/>
        <w:jc w:val="left"/>
        <w:shd w:val="clear" w:color="auto" w:fill="F2F2F2"/>
      </w:pPr>
      <w:r>
        <w:rPr>
          <w:rFonts w:eastAsia="標楷體" w:ascii="Consolas" w:hAnsi="Consolas"/>
          <w:sz w:val="19"/>
        </w:rPr>
        <w:t xml:space="preserve">                      │  充電           放電 │                I²C │ 400 kHz</w:t>
      </w:r>
    </w:p>
    <w:p>
      <w:pPr>
        <w:spacing w:lineRule="atLeast" w:line="260" w:before="0" w:after="0"/>
        <w:ind w:left="120"/>
        <w:jc w:val="left"/>
        <w:shd w:val="clear" w:color="auto" w:fill="F2F2F2"/>
      </w:pPr>
      <w:r>
        <w:rPr>
          <w:rFonts w:eastAsia="標楷體" w:ascii="Consolas" w:hAnsi="Consolas"/>
          <w:sz w:val="19"/>
        </w:rPr>
        <w:t xml:space="preserve">                      └──────────┬───────────┘                    │</w:t>
      </w:r>
    </w:p>
    <w:p>
      <w:pPr>
        <w:spacing w:lineRule="atLeast" w:line="260" w:before="0" w:after="0"/>
        <w:ind w:left="120"/>
        <w:jc w:val="left"/>
        <w:shd w:val="clear" w:color="auto" w:fill="F2F2F2"/>
      </w:pPr>
      <w:r>
        <w:rPr>
          <w:rFonts w:eastAsia="標楷體" w:ascii="Consolas" w:hAnsi="Consolas"/>
          <w:sz w:val="19"/>
        </w:rPr>
        <w:t xml:space="preserve">                                 ▼                                ▼</w:t>
      </w:r>
    </w:p>
    <w:p>
      <w:pPr>
        <w:spacing w:lineRule="atLeast" w:line="260" w:before="0" w:after="0"/>
        <w:ind w:left="120"/>
        <w:jc w:val="left"/>
        <w:shd w:val="clear" w:color="auto" w:fill="F2F2F2"/>
      </w:pPr>
      <w:r>
        <w:rPr>
          <w:rFonts w:eastAsia="標楷體" w:ascii="Consolas" w:hAnsi="Consolas"/>
          <w:sz w:val="19"/>
        </w:rPr>
        <w:t xml:space="preserve">                       ┌──────────────────┐  跨 Rshunt   ┌────────────────┐</w:t>
      </w:r>
    </w:p>
    <w:p>
      <w:pPr>
        <w:spacing w:lineRule="atLeast" w:line="260" w:before="0" w:after="0"/>
        <w:ind w:left="120"/>
        <w:jc w:val="left"/>
        <w:shd w:val="clear" w:color="auto" w:fill="F2F2F2"/>
      </w:pPr>
      <w:r>
        <w:rPr>
          <w:rFonts w:eastAsia="標楷體" w:ascii="Consolas" w:hAnsi="Consolas"/>
          <w:sz w:val="19"/>
        </w:rPr>
        <w:t xml:space="preserve">                       │   DUT 電池 (NMC)  │──10 mΩ shunt─│ INA226 (0x40)  │</w:t>
      </w:r>
    </w:p>
    <w:p>
      <w:pPr>
        <w:spacing w:lineRule="atLeast" w:line="260" w:before="0" w:after="0"/>
        <w:ind w:left="120"/>
        <w:jc w:val="left"/>
        <w:shd w:val="clear" w:color="auto" w:fill="F2F2F2"/>
      </w:pPr>
      <w:r>
        <w:rPr>
          <w:rFonts w:eastAsia="標楷體" w:ascii="Consolas" w:hAnsi="Consolas"/>
          <w:sz w:val="19"/>
        </w:rPr>
        <w:t xml:space="preserve">                       │  2000 mAh, 4.2 V  │              │ V+/V-/VBUS 量測│</w:t>
      </w:r>
    </w:p>
    <w:p>
      <w:pPr>
        <w:spacing w:lineRule="atLeast" w:line="260" w:before="0" w:after="0"/>
        <w:ind w:left="120"/>
        <w:jc w:val="left"/>
        <w:shd w:val="clear" w:color="auto" w:fill="F2F2F2"/>
      </w:pPr>
      <w:r>
        <w:rPr>
          <w:rFonts w:eastAsia="標楷體" w:ascii="Consolas" w:hAnsi="Consolas"/>
          <w:sz w:val="19"/>
        </w:rPr>
        <w:t xml:space="preserve">                       └──────────────────┘              └────────────────┘</w:t>
      </w:r>
    </w:p>
    <w:p>
      <w:pPr>
        <w:spacing w:lineRule="atLeast" w:line="260" w:before="0" w:after="120"/>
        <w:ind w:left="120"/>
        <w:jc w:val="left"/>
        <w:shd w:val="clear" w:color="auto" w:fill="F2F2F2"/>
      </w:pPr>
      <w:r>
        <w:rPr>
          <w:rFonts w:eastAsia="標楷體" w:ascii="Consolas" w:hAnsi="Consolas"/>
          <w:sz w:val="19"/>
        </w:rPr>
        <w:t>圖 3-1  測試平台系統架構：上位機經 SCPI 驅動電源／負載並解析 MCU heartbeat</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V_cv=4.2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V_cut=2.5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618"/>
        <w:gridCol w:w="1831"/>
        <w:gridCol w:w="155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618"/>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831"/>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55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618"/>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831"/>
            <w:vAlign w:val="center"/>
          </w:tcPr>
          <w:p>
            <w:pPr>
              <w:spacing w:before="20" w:after="20" w:lineRule="atLeast" w:line="280"/>
              <w:jc w:val="left"/>
            </w:pPr>
            <w:r>
              <w:rPr>
                <w:rFonts w:eastAsia="標楷體" w:ascii="Times New Roman" w:hAnsi="Times New Roman"/>
                <w:b w:val="0"/>
                <w:i w:val="0"/>
                <w:sz w:val="21"/>
              </w:rPr>
              <w:t>—</w:t>
            </w:r>
          </w:p>
        </w:tc>
        <w:tc>
          <w:tcPr>
            <w:tcW w:type="dxa" w:w="1551"/>
            <w:vAlign w:val="center"/>
          </w:tcPr>
          <w:p>
            <w:pPr>
              <w:spacing w:before="20" w:after="20" w:lineRule="atLeast" w:line="280"/>
              <w:jc w:val="left"/>
            </w:pPr>
            <w:r>
              <w:rPr>
                <w:rFonts w:eastAsia="標楷體" w:ascii="Times New Roman" w:hAnsi="Times New Roman"/>
                <w:b w:val="0"/>
                <w:i w:val="0"/>
                <w:sz w:val="21"/>
              </w:rPr>
              <w:t>嵌入式估測標的、heartbeat 輸出</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618"/>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831"/>
            <w:vAlign w:val="center"/>
          </w:tcPr>
          <w:p>
            <w:pPr>
              <w:spacing w:before="20" w:after="20" w:lineRule="atLeast" w:line="280"/>
              <w:jc w:val="left"/>
            </w:pPr>
            <w:r>
              <w:rPr>
                <w:rFonts w:eastAsia="標楷體" w:ascii="Times New Roman" w:hAnsi="Times New Roman"/>
                <w:b w:val="0"/>
                <w:i w:val="0"/>
                <w:sz w:val="21"/>
              </w:rPr>
              <w:t>I²C1 @ 400 kHz</w:t>
            </w:r>
          </w:p>
        </w:tc>
        <w:tc>
          <w:tcPr>
            <w:tcW w:type="dxa" w:w="155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618"/>
            <w:vAlign w:val="center"/>
          </w:tcPr>
          <w:p>
            <w:pPr>
              <w:spacing w:before="20" w:after="20" w:lineRule="atLeast" w:line="280"/>
              <w:jc w:val="left"/>
            </w:pPr>
            <w:r>
              <w:rPr>
                <w:rFonts w:eastAsia="標楷體" w:ascii="Times New Roman" w:hAnsi="Times New Roman"/>
                <w:b w:val="0"/>
                <w:i w:val="0"/>
                <w:sz w:val="21"/>
              </w:rPr>
              <w:t>ITECH IT6302（CC-CV）</w:t>
            </w:r>
          </w:p>
        </w:tc>
        <w:tc>
          <w:tcPr>
            <w:tcW w:type="dxa" w:w="1831"/>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55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618"/>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831"/>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55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618"/>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831"/>
            <w:vAlign w:val="center"/>
          </w:tcPr>
          <w:p>
            <w:pPr>
              <w:spacing w:before="20" w:after="20" w:lineRule="atLeast" w:line="280"/>
              <w:jc w:val="left"/>
            </w:pPr>
            <w:r>
              <w:rPr>
                <w:rFonts w:eastAsia="標楷體" w:ascii="Times New Roman" w:hAnsi="Times New Roman"/>
                <w:b w:val="0"/>
                <w:i w:val="0"/>
                <w:sz w:val="21"/>
              </w:rPr>
              <w:t>USB 三埠</w:t>
            </w:r>
          </w:p>
        </w:tc>
        <w:tc>
          <w:tcPr>
            <w:tcW w:type="dxa" w:w="155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序列埠通訊：IT6302 與 IT8512A+ 走 SCPI 指令集，STM32 經 USART2 將 1 Hz heartbeat 輸出到 ST-Link 虛擬序列埠（VCP），上位機由此解析 MCU 端的 V／I／SOC 估測值。如此，同一充放電事件同時被「儀錶真值」與「MCU 估測」兩路獨立記錄，構成第四章逐點誤差分析的資料基礎。</w:t>
      </w:r>
    </w:p>
    <w:p>
      <w:pPr>
        <w:spacing w:before="240" w:after="120" w:lineRule="atLeast" w:line="360"/>
        <w:jc w:val="left"/>
      </w:pPr>
      <w:r>
        <w:rPr>
          <w:rFonts w:eastAsia="標楷體" w:ascii="Times New Roman" w:hAnsi="Times New Roman"/>
          <w:b/>
          <w:i w:val="0"/>
          <w:sz w:val="28"/>
        </w:rPr>
        <w:t>3.2 STM32 韌體骨架（USER_CODE 框架與 100 µs 系統節拍）</w:t>
      </w:r>
    </w:p>
    <w:p>
      <w:pPr>
        <w:spacing w:lineRule="atLeast" w:line="480"/>
        <w:ind w:firstLine="480"/>
        <w:jc w:val="both"/>
      </w:pPr>
      <w:r>
        <w:rPr>
          <w:rFonts w:eastAsia="標楷體" w:ascii="Times New Roman" w:hAnsi="Times New Roman"/>
          <w:b w:val="0"/>
          <w:i w:val="0"/>
          <w:sz w:val="24"/>
        </w:rPr>
        <w:t xml:space="preserve">為使第四章三種 SOC 演算法在「完全相同的執行環境」下運行，本研究先建立一套統一的裸機韌體骨架，所有估測模組皆掛載於此骨架之上，避免因排程或時序差異污染比較結果。骨架以 STM32CubeIDE 產生的 HAL 專案為基底，於 </w:t>
      </w:r>
      <w:r>
        <w:rPr>
          <w:rFonts w:eastAsia="標楷體" w:ascii="Consolas" w:hAnsi="Consolas"/>
          <w:b w:val="0"/>
          <w:i w:val="0"/>
          <w:sz w:val="21"/>
        </w:rPr>
        <w:t>USER_CODE/</w:t>
      </w:r>
      <w:r>
        <w:rPr>
          <w:rFonts w:eastAsia="標楷體" w:ascii="Times New Roman" w:hAnsi="Times New Roman"/>
          <w:b w:val="0"/>
          <w:i w:val="0"/>
          <w:sz w:val="24"/>
        </w:rPr>
        <w:t xml:space="preserve"> 目錄下組織應用層程式，核心設計為「100 µs 基底節拍 + once／loop 應用入口 + 模組化 driver」三者。</w:t>
      </w:r>
    </w:p>
    <w:p>
      <w:pPr>
        <w:spacing w:lineRule="atLeast" w:line="480"/>
        <w:ind w:firstLine="480"/>
        <w:jc w:val="both"/>
      </w:pPr>
      <w:r>
        <w:rPr>
          <w:rFonts w:eastAsia="標楷體" w:ascii="Times New Roman" w:hAnsi="Times New Roman"/>
          <w:b/>
          <w:i w:val="0"/>
          <w:sz w:val="24"/>
        </w:rPr>
        <w:t>100 µs 基底節拍</w:t>
      </w:r>
      <w:r>
        <w:rPr>
          <w:rFonts w:eastAsia="標楷體" w:ascii="Times New Roman" w:hAnsi="Times New Roman"/>
          <w:b w:val="0"/>
          <w:i w:val="0"/>
          <w:sz w:val="24"/>
        </w:rPr>
        <w:t xml:space="preserve">：以 TIM6 基本計時器產生 100 µs 中斷，其中斷服務常式僅將全域計數器 </w:t>
      </w:r>
      <w:r>
        <w:rPr>
          <w:rFonts w:eastAsia="標楷體" w:ascii="Consolas" w:hAnsi="Consolas"/>
          <w:b w:val="0"/>
          <w:i w:val="0"/>
          <w:sz w:val="21"/>
        </w:rPr>
        <w:t>g_softWareTimCnt</w:t>
      </w:r>
      <w:r>
        <w:rPr>
          <w:rFonts w:eastAsia="標楷體" w:ascii="Times New Roman" w:hAnsi="Times New Roman"/>
          <w:b w:val="0"/>
          <w:i w:val="0"/>
          <w:sz w:val="24"/>
        </w:rPr>
        <w:t xml:space="preserve"> 遞增，不在中斷內做任何列印或運算，避免在 100 µs 尺度上阻塞或飽和 UART。上層需要週期性事件時，呼叫 </w:t>
      </w:r>
      <w:r>
        <w:rPr>
          <w:rFonts w:eastAsia="標楷體" w:ascii="Consolas" w:hAnsi="Consolas"/>
          <w:b w:val="0"/>
          <w:i w:val="0"/>
          <w:sz w:val="21"/>
        </w:rPr>
        <w:t>softWareTimTick_100us(cmd, cnt, Period)</w:t>
      </w:r>
      <w:r>
        <w:rPr>
          <w:rFonts w:eastAsia="標楷體" w:ascii="Times New Roman" w:hAnsi="Times New Roman"/>
          <w:b w:val="0"/>
          <w:i w:val="0"/>
          <w:sz w:val="24"/>
        </w:rPr>
        <w:t xml:space="preserve"> 軟體計時器：以 100 µs 為單位累計至指定 </w:t>
      </w:r>
      <w:r>
        <w:rPr>
          <w:rFonts w:eastAsia="標楷體" w:ascii="Consolas" w:hAnsi="Consolas"/>
          <w:b w:val="0"/>
          <w:i w:val="0"/>
          <w:sz w:val="21"/>
        </w:rPr>
        <w:t>Period</w:t>
      </w:r>
      <w:r>
        <w:rPr>
          <w:rFonts w:eastAsia="標楷體" w:ascii="Times New Roman" w:hAnsi="Times New Roman"/>
          <w:b w:val="0"/>
          <w:i w:val="0"/>
          <w:sz w:val="24"/>
        </w:rPr>
        <w:t xml:space="preserve"> 後回傳逾時旗標。例如 1 Hz heartbeat 即以 </w:t>
      </w:r>
      <w:r>
        <w:rPr>
          <w:rFonts w:eastAsia="標楷體" w:ascii="Consolas" w:hAnsi="Consolas"/>
          <w:b w:val="0"/>
          <w:i w:val="0"/>
          <w:sz w:val="21"/>
        </w:rPr>
        <w:t>Period = 10000</w:t>
      </w:r>
      <w:r>
        <w:rPr>
          <w:rFonts w:eastAsia="標楷體" w:ascii="Times New Roman" w:hAnsi="Times New Roman"/>
          <w:b w:val="0"/>
          <w:i w:val="0"/>
          <w:sz w:val="24"/>
        </w:rPr>
        <w:t>（10000 × 100 µs = 1 s）實現。此設計使「硬體中斷只計數、應用層在主迴圈輪詢」職責分離，是後續 EKF／動態阻抗等估測模組共用的時間基準。</w:t>
      </w:r>
    </w:p>
    <w:p>
      <w:pPr>
        <w:spacing w:lineRule="atLeast" w:line="480"/>
        <w:ind w:firstLine="480"/>
        <w:jc w:val="both"/>
      </w:pPr>
      <w:r>
        <w:rPr>
          <w:rFonts w:eastAsia="標楷體" w:ascii="Times New Roman" w:hAnsi="Times New Roman"/>
          <w:b/>
          <w:i w:val="0"/>
          <w:sz w:val="24"/>
        </w:rPr>
        <w:t>once／loop 應用入口</w:t>
      </w:r>
      <w:r>
        <w:rPr>
          <w:rFonts w:eastAsia="標楷體" w:ascii="Times New Roman" w:hAnsi="Times New Roman"/>
          <w:b w:val="0"/>
          <w:i w:val="0"/>
          <w:sz w:val="24"/>
        </w:rPr>
        <w:t>：</w:t>
      </w:r>
      <w:r>
        <w:rPr>
          <w:rFonts w:eastAsia="標楷體" w:ascii="Consolas" w:hAnsi="Consolas"/>
          <w:b w:val="0"/>
          <w:i w:val="0"/>
          <w:sz w:val="21"/>
        </w:rPr>
        <w:t>main.c</w:t>
      </w:r>
      <w:r>
        <w:rPr>
          <w:rFonts w:eastAsia="標楷體" w:ascii="Times New Roman" w:hAnsi="Times New Roman"/>
          <w:b w:val="0"/>
          <w:i w:val="0"/>
          <w:sz w:val="24"/>
        </w:rPr>
        <w:t xml:space="preserve"> 在初始化後呼叫一次 </w:t>
      </w:r>
      <w:r>
        <w:rPr>
          <w:rFonts w:eastAsia="標楷體" w:ascii="Consolas" w:hAnsi="Consolas"/>
          <w:b w:val="0"/>
          <w:i w:val="0"/>
          <w:sz w:val="21"/>
        </w:rPr>
        <w:t>once()</w:t>
      </w:r>
      <w:r>
        <w:rPr>
          <w:rFonts w:eastAsia="標楷體" w:ascii="Times New Roman" w:hAnsi="Times New Roman"/>
          <w:b w:val="0"/>
          <w:i w:val="0"/>
          <w:sz w:val="24"/>
        </w:rPr>
        <w:t xml:space="preserve">、並於 </w:t>
      </w:r>
      <w:r>
        <w:rPr>
          <w:rFonts w:eastAsia="標楷體" w:ascii="Consolas" w:hAnsi="Consolas"/>
          <w:b w:val="0"/>
          <w:i w:val="0"/>
          <w:sz w:val="21"/>
        </w:rPr>
        <w:t>while(1)</w:t>
      </w:r>
      <w:r>
        <w:rPr>
          <w:rFonts w:eastAsia="標楷體" w:ascii="Times New Roman" w:hAnsi="Times New Roman"/>
          <w:b w:val="0"/>
          <w:i w:val="0"/>
          <w:sz w:val="24"/>
        </w:rPr>
        <w:t xml:space="preserve"> 內反覆呼叫 </w:t>
      </w:r>
      <w:r>
        <w:rPr>
          <w:rFonts w:eastAsia="標楷體" w:ascii="Consolas" w:hAnsi="Consolas"/>
          <w:b w:val="0"/>
          <w:i w:val="0"/>
          <w:sz w:val="21"/>
        </w:rPr>
        <w:t>loop()</w:t>
      </w:r>
      <w:r>
        <w:rPr>
          <w:rFonts w:eastAsia="標楷體" w:ascii="Times New Roman" w:hAnsi="Times New Roman"/>
          <w:b w:val="0"/>
          <w:i w:val="0"/>
          <w:sz w:val="24"/>
        </w:rPr>
        <w:t>。</w:t>
      </w:r>
      <w:r>
        <w:rPr>
          <w:rFonts w:eastAsia="標楷體" w:ascii="Consolas" w:hAnsi="Consolas"/>
          <w:b w:val="0"/>
          <w:i w:val="0"/>
          <w:sz w:val="21"/>
        </w:rPr>
        <w:t>once()</w:t>
      </w:r>
      <w:r>
        <w:rPr>
          <w:rFonts w:eastAsia="標楷體" w:ascii="Times New Roman" w:hAnsi="Times New Roman"/>
          <w:b w:val="0"/>
          <w:i w:val="0"/>
          <w:sz w:val="24"/>
        </w:rPr>
        <w:t xml:space="preserve"> 啟動 TIM6 中斷、依序初始化各 driver（</w:t>
      </w:r>
      <w:r>
        <w:rPr>
          <w:rFonts w:eastAsia="標楷體" w:ascii="Consolas" w:hAnsi="Consolas"/>
          <w:b w:val="0"/>
          <w:i w:val="0"/>
          <w:sz w:val="21"/>
        </w:rPr>
        <w:t>uart_debug</w:t>
      </w:r>
      <w:r>
        <w:rPr>
          <w:rFonts w:eastAsia="標楷體" w:ascii="Times New Roman" w:hAnsi="Times New Roman"/>
          <w:b w:val="0"/>
          <w:i w:val="0"/>
          <w:sz w:val="24"/>
        </w:rPr>
        <w:t xml:space="preserve"> → </w:t>
      </w:r>
      <w:r>
        <w:rPr>
          <w:rFonts w:eastAsia="標楷體" w:ascii="Consolas" w:hAnsi="Consolas"/>
          <w:b w:val="0"/>
          <w:i w:val="0"/>
          <w:sz w:val="21"/>
        </w:rPr>
        <w:t>i2c_bus</w:t>
      </w:r>
      <w:r>
        <w:rPr>
          <w:rFonts w:eastAsia="標楷體" w:ascii="Times New Roman" w:hAnsi="Times New Roman"/>
          <w:b w:val="0"/>
          <w:i w:val="0"/>
          <w:sz w:val="24"/>
        </w:rPr>
        <w:t xml:space="preserve"> → </w:t>
      </w:r>
      <w:r>
        <w:rPr>
          <w:rFonts w:eastAsia="標楷體" w:ascii="Consolas" w:hAnsi="Consolas"/>
          <w:b w:val="0"/>
          <w:i w:val="0"/>
          <w:sz w:val="21"/>
        </w:rPr>
        <w:t>ina_cal</w:t>
      </w:r>
      <w:r>
        <w:rPr>
          <w:rFonts w:eastAsia="標楷體" w:ascii="Times New Roman" w:hAnsi="Times New Roman"/>
          <w:b w:val="0"/>
          <w:i w:val="0"/>
          <w:sz w:val="24"/>
        </w:rPr>
        <w:t>）、印出可供上位機 grep 的開機橫幅，並對 INA226 做一次 I²C 探測（探測失敗時以警告續行，不硬性中止——量測平台須在感測器缺席時仍能運行）。</w:t>
      </w:r>
      <w:r>
        <w:rPr>
          <w:rFonts w:eastAsia="標楷體" w:ascii="Consolas" w:hAnsi="Consolas"/>
          <w:b w:val="0"/>
          <w:i w:val="0"/>
          <w:sz w:val="21"/>
        </w:rPr>
        <w:t>loop()</w:t>
      </w:r>
      <w:r>
        <w:rPr>
          <w:rFonts w:eastAsia="標楷體" w:ascii="Times New Roman" w:hAnsi="Times New Roman"/>
          <w:b w:val="0"/>
          <w:i w:val="0"/>
          <w:sz w:val="24"/>
        </w:rPr>
        <w:t xml:space="preserve"> 依序驅動各 driver 的 </w:t>
      </w:r>
      <w:r>
        <w:rPr>
          <w:rFonts w:eastAsia="標楷體" w:ascii="Consolas" w:hAnsi="Consolas"/>
          <w:b w:val="0"/>
          <w:i w:val="0"/>
          <w:sz w:val="21"/>
        </w:rPr>
        <w:t>handle()</w:t>
      </w:r>
      <w:r>
        <w:rPr>
          <w:rFonts w:eastAsia="標楷體" w:ascii="Times New Roman" w:hAnsi="Times New Roman"/>
          <w:b w:val="0"/>
          <w:i w:val="0"/>
          <w:sz w:val="24"/>
        </w:rPr>
        <w:t>，再以軟體計時器分派 1 Hz heartbeat。</w:t>
      </w:r>
    </w:p>
    <w:p>
      <w:pPr>
        <w:spacing w:lineRule="atLeast" w:line="480"/>
        <w:ind w:firstLine="480"/>
        <w:jc w:val="both"/>
      </w:pPr>
      <w:r>
        <w:rPr>
          <w:rFonts w:eastAsia="標楷體" w:ascii="Times New Roman" w:hAnsi="Times New Roman"/>
          <w:b/>
          <w:i w:val="0"/>
          <w:sz w:val="24"/>
        </w:rPr>
        <w:t>模組化 driver</w:t>
      </w:r>
      <w:r>
        <w:rPr>
          <w:rFonts w:eastAsia="標楷體" w:ascii="Times New Roman" w:hAnsi="Times New Roman"/>
          <w:b w:val="0"/>
          <w:i w:val="0"/>
          <w:sz w:val="24"/>
        </w:rPr>
        <w:t xml:space="preserve">：應用功能切分為獨立子模組，各自含 </w:t>
      </w:r>
      <w:r>
        <w:rPr>
          <w:rFonts w:eastAsia="標楷體" w:ascii="Consolas" w:hAnsi="Consolas"/>
          <w:b w:val="0"/>
          <w:i w:val="0"/>
          <w:sz w:val="21"/>
        </w:rPr>
        <w:t>init()</w:t>
      </w:r>
      <w:r>
        <w:rPr>
          <w:rFonts w:eastAsia="標楷體" w:ascii="Times New Roman" w:hAnsi="Times New Roman"/>
          <w:b w:val="0"/>
          <w:i w:val="0"/>
          <w:sz w:val="24"/>
        </w:rPr>
        <w:t>／</w:t>
      </w:r>
      <w:r>
        <w:rPr>
          <w:rFonts w:eastAsia="標楷體" w:ascii="Consolas" w:hAnsi="Consolas"/>
          <w:b w:val="0"/>
          <w:i w:val="0"/>
          <w:sz w:val="21"/>
        </w:rPr>
        <w:t>handle()</w:t>
      </w:r>
      <w:r>
        <w:rPr>
          <w:rFonts w:eastAsia="標楷體" w:ascii="Times New Roman" w:hAnsi="Times New Roman"/>
          <w:b w:val="0"/>
          <w:i w:val="0"/>
          <w:sz w:val="24"/>
        </w:rPr>
        <w:t xml:space="preserve"> 並透過 </w:t>
      </w:r>
      <w:r>
        <w:rPr>
          <w:rFonts w:eastAsia="標楷體" w:ascii="Consolas" w:hAnsi="Consolas"/>
          <w:b w:val="0"/>
          <w:i w:val="0"/>
          <w:sz w:val="21"/>
        </w:rPr>
        <w:t>global_includes.h</w:t>
      </w:r>
      <w:r>
        <w:rPr>
          <w:rFonts w:eastAsia="標楷體" w:ascii="Times New Roman" w:hAnsi="Times New Roman"/>
          <w:b w:val="0"/>
          <w:i w:val="0"/>
          <w:sz w:val="24"/>
        </w:rPr>
        <w:t xml:space="preserve"> 的 driver 區塊統一納入。目前已實作之模組如表 3-2。</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901"/>
        <w:gridCol w:w="5699"/>
      </w:tblGrid>
      <w:tr>
        <w:tc>
          <w:tcPr>
            <w:tcW w:type="dxa" w:w="2901"/>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5699"/>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2901"/>
            <w:vAlign w:val="center"/>
          </w:tcPr>
          <w:p>
            <w:pPr>
              <w:spacing w:before="20" w:after="20" w:lineRule="atLeast" w:line="280"/>
              <w:jc w:val="left"/>
            </w:pPr>
            <w:r>
              <w:rPr>
                <w:rFonts w:eastAsia="標楷體" w:ascii="Consolas" w:hAnsi="Consolas"/>
                <w:b w:val="0"/>
                <w:i w:val="0"/>
                <w:sz w:val="18"/>
              </w:rPr>
              <w:t>uart_debug</w:t>
            </w:r>
          </w:p>
        </w:tc>
        <w:tc>
          <w:tcPr>
            <w:tcW w:type="dxa" w:w="5699"/>
            <w:vAlign w:val="center"/>
          </w:tcPr>
          <w:p>
            <w:pPr>
              <w:spacing w:before="20" w:after="20" w:lineRule="atLeast" w:line="280"/>
              <w:jc w:val="left"/>
            </w:pPr>
            <w:r>
              <w:rPr>
                <w:rFonts w:eastAsia="標楷體" w:ascii="Times New Roman" w:hAnsi="Times New Roman"/>
                <w:b w:val="0"/>
                <w:i w:val="0"/>
                <w:sz w:val="21"/>
              </w:rPr>
              <w:t xml:space="preserve">USART2 @ 115200 的 IT-driven 環形緩衝 TX，並 retarget </w:t>
            </w:r>
            <w:r>
              <w:rPr>
                <w:rFonts w:eastAsia="標楷體" w:ascii="Consolas" w:hAnsi="Consolas"/>
                <w:b w:val="0"/>
                <w:i w:val="0"/>
                <w:sz w:val="18"/>
              </w:rPr>
              <w:t>printf</w:t>
            </w:r>
          </w:p>
        </w:tc>
      </w:tr>
      <w:tr>
        <w:tc>
          <w:tcPr>
            <w:tcW w:type="dxa" w:w="2901"/>
            <w:vAlign w:val="center"/>
          </w:tcPr>
          <w:p>
            <w:pPr>
              <w:spacing w:before="20" w:after="20" w:lineRule="atLeast" w:line="280"/>
              <w:jc w:val="left"/>
            </w:pPr>
            <w:r>
              <w:rPr>
                <w:rFonts w:eastAsia="標楷體" w:ascii="Consolas" w:hAnsi="Consolas"/>
                <w:b w:val="0"/>
                <w:i w:val="0"/>
                <w:sz w:val="18"/>
              </w:rPr>
              <w:t>i2c_bus</w:t>
            </w:r>
          </w:p>
        </w:tc>
        <w:tc>
          <w:tcPr>
            <w:tcW w:type="dxa" w:w="5699"/>
            <w:vAlign w:val="center"/>
          </w:tcPr>
          <w:p>
            <w:pPr>
              <w:spacing w:before="20" w:after="20" w:lineRule="atLeast" w:line="280"/>
              <w:jc w:val="left"/>
            </w:pPr>
            <w:r>
              <w:rPr>
                <w:rFonts w:eastAsia="標楷體" w:ascii="Times New Roman" w:hAnsi="Times New Roman"/>
                <w:b w:val="0"/>
                <w:i w:val="0"/>
                <w:sz w:val="21"/>
              </w:rPr>
              <w:t>I²C1 @ 400 kHz master，封裝對 INA226 的暫存器讀寫</w:t>
            </w:r>
          </w:p>
        </w:tc>
      </w:tr>
      <w:tr>
        <w:tc>
          <w:tcPr>
            <w:tcW w:type="dxa" w:w="2901"/>
            <w:vAlign w:val="center"/>
          </w:tcPr>
          <w:p>
            <w:pPr>
              <w:spacing w:before="20" w:after="20" w:lineRule="atLeast" w:line="280"/>
              <w:jc w:val="left"/>
            </w:pPr>
            <w:r>
              <w:rPr>
                <w:rFonts w:eastAsia="標楷體" w:ascii="Consolas" w:hAnsi="Consolas"/>
                <w:b w:val="0"/>
                <w:i w:val="0"/>
                <w:sz w:val="18"/>
              </w:rPr>
              <w:t>ina226</w:t>
            </w:r>
            <w:r>
              <w:rPr>
                <w:rFonts w:eastAsia="標楷體" w:ascii="Times New Roman" w:hAnsi="Times New Roman"/>
                <w:b w:val="0"/>
                <w:i w:val="0"/>
                <w:sz w:val="21"/>
              </w:rPr>
              <w:t xml:space="preserve"> / </w:t>
            </w:r>
            <w:r>
              <w:rPr>
                <w:rFonts w:eastAsia="標楷體" w:ascii="Consolas" w:hAnsi="Consolas"/>
                <w:b w:val="0"/>
                <w:i w:val="0"/>
                <w:sz w:val="18"/>
              </w:rPr>
              <w:t>battery_monitor</w:t>
            </w:r>
          </w:p>
        </w:tc>
        <w:tc>
          <w:tcPr>
            <w:tcW w:type="dxa" w:w="5699"/>
            <w:vAlign w:val="center"/>
          </w:tcPr>
          <w:p>
            <w:pPr>
              <w:spacing w:before="20" w:after="20" w:lineRule="atLeast" w:line="280"/>
              <w:jc w:val="left"/>
            </w:pPr>
            <w:r>
              <w:rPr>
                <w:rFonts w:eastAsia="標楷體" w:ascii="Times New Roman" w:hAnsi="Times New Roman"/>
                <w:b w:val="0"/>
                <w:i w:val="0"/>
                <w:sz w:val="21"/>
              </w:rPr>
              <w:t>INA226 組態（CONFIG／CAL）、單次取樣、取得最新 V／I／P 快照</w:t>
            </w:r>
          </w:p>
        </w:tc>
      </w:tr>
      <w:tr>
        <w:tc>
          <w:tcPr>
            <w:tcW w:type="dxa" w:w="2901"/>
            <w:vAlign w:val="center"/>
          </w:tcPr>
          <w:p>
            <w:pPr>
              <w:spacing w:before="20" w:after="20" w:lineRule="atLeast" w:line="280"/>
              <w:jc w:val="left"/>
            </w:pPr>
            <w:r>
              <w:rPr>
                <w:rFonts w:eastAsia="標楷體" w:ascii="Consolas" w:hAnsi="Consolas"/>
                <w:b w:val="0"/>
                <w:i w:val="0"/>
                <w:sz w:val="18"/>
              </w:rPr>
              <w:t>ina_cal</w:t>
            </w:r>
          </w:p>
        </w:tc>
        <w:tc>
          <w:tcPr>
            <w:tcW w:type="dxa" w:w="5699"/>
            <w:vAlign w:val="center"/>
          </w:tcPr>
          <w:p>
            <w:pPr>
              <w:spacing w:before="20" w:after="20" w:lineRule="atLeast" w:line="280"/>
              <w:jc w:val="left"/>
            </w:pPr>
            <w:r>
              <w:rPr>
                <w:rFonts w:eastAsia="標楷體" w:ascii="Times New Roman" w:hAnsi="Times New Roman"/>
                <w:b w:val="0"/>
                <w:i w:val="0"/>
                <w:sz w:val="21"/>
              </w:rPr>
              <w:t>14 點校正 LUT 之載入與套用（</w:t>
            </w:r>
            <w:r>
              <w:rPr>
                <w:rFonts w:eastAsia="標楷體" w:ascii="Consolas" w:hAnsi="Consolas"/>
                <w:b w:val="0"/>
                <w:i w:val="0"/>
                <w:sz w:val="18"/>
              </w:rPr>
              <w:t>ina_cal_apply</w:t>
            </w:r>
            <w:r>
              <w:rPr>
                <w:rFonts w:eastAsia="標楷體" w:ascii="Times New Roman" w:hAnsi="Times New Roman"/>
                <w:b w:val="0"/>
                <w:i w:val="0"/>
                <w:sz w:val="21"/>
              </w:rPr>
              <w:t>），UART CLI 燒錄／讀回</w:t>
            </w:r>
          </w:p>
        </w:tc>
      </w:tr>
      <w:tr>
        <w:tc>
          <w:tcPr>
            <w:tcW w:type="dxa" w:w="2901"/>
            <w:vAlign w:val="center"/>
          </w:tcPr>
          <w:p>
            <w:pPr>
              <w:spacing w:before="20" w:after="20" w:lineRule="atLeast" w:line="280"/>
              <w:jc w:val="left"/>
            </w:pPr>
            <w:r>
              <w:rPr>
                <w:rFonts w:eastAsia="標楷體" w:ascii="Consolas" w:hAnsi="Consolas"/>
                <w:b w:val="0"/>
                <w:i w:val="0"/>
                <w:sz w:val="18"/>
              </w:rPr>
              <w:t>soc_soh_calc</w:t>
            </w:r>
          </w:p>
        </w:tc>
        <w:tc>
          <w:tcPr>
            <w:tcW w:type="dxa" w:w="5699"/>
            <w:vAlign w:val="center"/>
          </w:tcPr>
          <w:p>
            <w:pPr>
              <w:spacing w:before="20" w:after="20" w:lineRule="atLeast" w:line="280"/>
              <w:jc w:val="left"/>
            </w:pPr>
            <w:r>
              <w:rPr>
                <w:rFonts w:eastAsia="標楷體" w:ascii="Times New Roman" w:hAnsi="Times New Roman"/>
                <w:b w:val="0"/>
                <w:i w:val="0"/>
                <w:sz w:val="21"/>
              </w:rPr>
              <w:t>SOC／SOH 估測（第四章三方法掛載於此）</w:t>
            </w:r>
          </w:p>
        </w:tc>
      </w:tr>
    </w:tbl>
    <w:p>
      <w:pPr>
        <w:spacing w:lineRule="atLeast" w:line="480"/>
        <w:ind w:firstLine="480"/>
        <w:jc w:val="both"/>
      </w:pPr>
      <w:r>
        <w:rPr>
          <w:rFonts w:eastAsia="標楷體" w:ascii="Times New Roman" w:hAnsi="Times New Roman"/>
          <w:b w:val="0"/>
          <w:i w:val="0"/>
          <w:sz w:val="24"/>
        </w:rPr>
        <w:t xml:space="preserve">heartbeat 每秒翻轉使用者 LED 並輸出一行狀態，例如 </w:t>
      </w:r>
      <w:r>
        <w:rPr>
          <w:rFonts w:eastAsia="標楷體" w:ascii="Consolas" w:hAnsi="Consolas"/>
          <w:b w:val="0"/>
          <w:i w:val="0"/>
          <w:sz w:val="21"/>
        </w:rPr>
        <w:t>[12s] alive V=3940.2mV I=+198.9mA Ical=+201.0mA P=783.6mW i2c=ok ina=present cal=on</w:t>
      </w:r>
      <w:r>
        <w:rPr>
          <w:rFonts w:eastAsia="標楷體" w:ascii="Times New Roman" w:hAnsi="Times New Roman"/>
          <w:b w:val="0"/>
          <w:i w:val="0"/>
          <w:sz w:val="24"/>
        </w:rPr>
        <w:t xml:space="preserve">，其中 </w:t>
      </w:r>
      <w:r>
        <w:rPr>
          <w:rFonts w:eastAsia="標楷體" w:ascii="Consolas" w:hAnsi="Consolas"/>
          <w:b w:val="0"/>
          <w:i w:val="0"/>
          <w:sz w:val="21"/>
        </w:rPr>
        <w:t>Ical</w:t>
      </w:r>
      <w:r>
        <w:rPr>
          <w:rFonts w:eastAsia="標楷體" w:ascii="Times New Roman" w:hAnsi="Times New Roman"/>
          <w:b w:val="0"/>
          <w:i w:val="0"/>
          <w:sz w:val="24"/>
        </w:rPr>
        <w:t xml:space="preserve"> 為套用校正 LUT 後的電流、</w:t>
      </w:r>
      <w:r>
        <w:rPr>
          <w:rFonts w:eastAsia="標楷體" w:ascii="Consolas" w:hAnsi="Consolas"/>
          <w:b w:val="0"/>
          <w:i w:val="0"/>
          <w:sz w:val="21"/>
        </w:rPr>
        <w:t>cal=on/off</w:t>
      </w:r>
      <w:r>
        <w:rPr>
          <w:rFonts w:eastAsia="標楷體" w:ascii="Times New Roman" w:hAnsi="Times New Roman"/>
          <w:b w:val="0"/>
          <w:i w:val="0"/>
          <w:sz w:val="24"/>
        </w:rPr>
        <w:t xml:space="preserve"> 指示 LUT 是否有效載入。INA226 韌體預設 </w:t>
      </w:r>
      <w:r>
        <w:rPr>
          <w:rFonts w:eastAsia="標楷體" w:ascii="Consolas" w:hAnsi="Consolas"/>
          <w:b w:val="0"/>
          <w:i w:val="0"/>
          <w:sz w:val="21"/>
        </w:rPr>
        <w:t>Current_LSB = 152.5879 µA/LSB</w:t>
      </w:r>
      <w:r>
        <w:rPr>
          <w:rFonts w:eastAsia="標楷體" w:ascii="Times New Roman" w:hAnsi="Times New Roman"/>
          <w:b w:val="0"/>
          <w:i w:val="0"/>
          <w:sz w:val="24"/>
        </w:rPr>
        <w:t xml:space="preserve">（依 datasheet 以 </w:t>
      </w:r>
      <w:r>
        <w:rPr>
          <w:rFonts w:eastAsia="標楷體" w:ascii="Times New Roman" w:hAnsi="Times New Roman"/>
          <w:b w:val="0"/>
          <w:i w:val="0"/>
          <w:sz w:val="24"/>
        </w:rPr>
        <w:t>I_max=5</w:t>
      </w:r>
      <w:r>
        <w:rPr>
          <w:rFonts w:eastAsia="標楷體" w:ascii="Times New Roman" w:hAnsi="Times New Roman"/>
          <w:b w:val="0"/>
          <w:i w:val="0"/>
          <w:sz w:val="24"/>
        </w:rPr>
        <w:t xml:space="preserve"> A、</w:t>
      </w:r>
      <w:r>
        <w:rPr>
          <w:rFonts w:eastAsia="標楷體" w:ascii="Times New Roman" w:hAnsi="Times New Roman"/>
          <w:b w:val="0"/>
          <w:i w:val="0"/>
          <w:sz w:val="24"/>
        </w:rPr>
        <w:t>R=10</w:t>
      </w:r>
      <w:r>
        <w:rPr>
          <w:rFonts w:eastAsia="標楷體" w:ascii="Times New Roman" w:hAnsi="Times New Roman"/>
          <w:b w:val="0"/>
          <w:i w:val="0"/>
          <w:sz w:val="24"/>
        </w:rPr>
        <w:t xml:space="preserve"> mΩ 計），校正後改以 LUT 後處理修正（3.3 節）。14 點 LUT 經 UART CLI 燒入 STM32 內部 Flash page 63（位址 0x0801_F800），開機自動載入，故 MCU 可直接吐出校正後電流值。此骨架即為第四章三種估測方法的共同載體，三者僅替換 </w:t>
      </w:r>
      <w:r>
        <w:rPr>
          <w:rFonts w:eastAsia="標楷體" w:ascii="Consolas" w:hAnsi="Consolas"/>
          <w:b w:val="0"/>
          <w:i w:val="0"/>
          <w:sz w:val="21"/>
        </w:rPr>
        <w:t>soc_soh_calc</w:t>
      </w:r>
      <w:r>
        <w:rPr>
          <w:rFonts w:eastAsia="標楷體" w:ascii="Times New Roman" w:hAnsi="Times New Roman"/>
          <w:b w:val="0"/>
          <w:i w:val="0"/>
          <w:sz w:val="24"/>
        </w:rPr>
        <w:t xml:space="preserve"> 內的估測核心，其餘時序、I/O、量測路徑完全一致，確保比較之公平性。</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Current_LSB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I_mcu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[m_k, m_k+1]</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I_ref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[DOC/校正紀錄/2026-05-07_ina226_calibration.md](../校正紀錄/2026-05-07_ina226_calibration.md)。</w:t>
      </w:r>
    </w:p>
    <w:p>
      <w:pPr>
        <w:spacing w:before="240" w:after="120" w:lineRule="atLeast" w:line="360"/>
        <w:jc w:val="left"/>
      </w:pPr>
      <w:r>
        <w:rPr>
          <w:rFonts w:eastAsia="標楷體" w:ascii="Times New Roman" w:hAnsi="Times New Roman"/>
          <w:b/>
          <w:i w:val="0"/>
          <w:sz w:val="28"/>
        </w:rPr>
        <w:t>3.4 電源與電子負載之 SCPI 自動化</w:t>
      </w:r>
    </w:p>
    <w:p>
      <w:pPr>
        <w:spacing w:lineRule="atLeast" w:line="480"/>
        <w:ind w:firstLine="480"/>
        <w:jc w:val="both"/>
      </w:pPr>
      <w:r>
        <w:rPr>
          <w:rFonts w:eastAsia="標楷體" w:ascii="Times New Roman" w:hAnsi="Times New Roman"/>
          <w:b w:val="0"/>
          <w:i w:val="0"/>
          <w:sz w:val="24"/>
        </w:rPr>
        <w:t>長時間（單輪 16～18 h、GITT 約 46 h）無人值守實驗要求上位機對儀器的每一個指令都「下達即確認生效」，否則一個未生效的設定就可能毀掉整批數據或損傷電池。本研究在 SCPI 自動化層處理了兩個關鍵陷阱。</w:t>
      </w:r>
    </w:p>
    <w:p>
      <w:pPr>
        <w:spacing w:lineRule="atLeast" w:line="480"/>
        <w:ind w:firstLine="480"/>
        <w:jc w:val="both"/>
      </w:pPr>
      <w:r>
        <w:rPr>
          <w:rFonts w:eastAsia="標楷體" w:ascii="Times New Roman" w:hAnsi="Times New Roman"/>
          <w:b/>
          <w:i w:val="0"/>
          <w:sz w:val="24"/>
        </w:rPr>
        <w:t>陷阱一：IT6302 `APPL` 指令不可靠更新 CURR</w:t>
      </w:r>
      <w:r>
        <w:rPr>
          <w:rFonts w:eastAsia="標楷體" w:ascii="Times New Roman" w:hAnsi="Times New Roman"/>
          <w:b w:val="0"/>
          <w:i w:val="0"/>
          <w:sz w:val="24"/>
        </w:rPr>
        <w:t xml:space="preserve">。IT6302 的 </w:t>
      </w:r>
      <w:r>
        <w:rPr>
          <w:rFonts w:eastAsia="標楷體" w:ascii="Consolas" w:hAnsi="Consolas"/>
          <w:b w:val="0"/>
          <w:i w:val="0"/>
          <w:sz w:val="21"/>
        </w:rPr>
        <w:t>APPL V,I</w:t>
      </w:r>
      <w:r>
        <w:rPr>
          <w:rFonts w:eastAsia="標楷體" w:ascii="Times New Roman" w:hAnsi="Times New Roman"/>
          <w:b w:val="0"/>
          <w:i w:val="0"/>
          <w:sz w:val="24"/>
        </w:rPr>
        <w:t xml:space="preserve"> 複合指令在連續寫入時，不保證更新電流限值，通道可能沿用前一次的 CURR 設定。實測曾出現首次充電本應 1 A 卻灌出接近 1C（2 A）的失控情形。修正紀律為：</w:t>
      </w:r>
      <w:r>
        <w:rPr>
          <w:rFonts w:eastAsia="標楷體" w:ascii="Times New Roman" w:hAnsi="Times New Roman"/>
          <w:b/>
          <w:i w:val="0"/>
          <w:sz w:val="24"/>
        </w:rPr>
        <w:t>分開</w:t>
      </w:r>
      <w:r>
        <w:rPr>
          <w:rFonts w:eastAsia="標楷體" w:ascii="Times New Roman" w:hAnsi="Times New Roman"/>
          <w:b w:val="0"/>
          <w:i w:val="0"/>
          <w:sz w:val="24"/>
        </w:rPr>
        <w:t xml:space="preserve">下 </w:t>
      </w:r>
      <w:r>
        <w:rPr>
          <w:rFonts w:eastAsia="標楷體" w:ascii="Consolas" w:hAnsi="Consolas"/>
          <w:b w:val="0"/>
          <w:i w:val="0"/>
          <w:sz w:val="21"/>
        </w:rPr>
        <w:t>set_voltage</w:t>
      </w:r>
      <w:r>
        <w:rPr>
          <w:rFonts w:eastAsia="標楷體" w:ascii="Times New Roman" w:hAnsi="Times New Roman"/>
          <w:b w:val="0"/>
          <w:i w:val="0"/>
          <w:sz w:val="24"/>
        </w:rPr>
        <w:t xml:space="preserve"> 與 </w:t>
      </w:r>
      <w:r>
        <w:rPr>
          <w:rFonts w:eastAsia="標楷體" w:ascii="Consolas" w:hAnsi="Consolas"/>
          <w:b w:val="0"/>
          <w:i w:val="0"/>
          <w:sz w:val="21"/>
        </w:rPr>
        <w:t>set_current</w:t>
      </w:r>
      <w:r>
        <w:rPr>
          <w:rFonts w:eastAsia="標楷體" w:ascii="Times New Roman" w:hAnsi="Times New Roman"/>
          <w:b w:val="0"/>
          <w:i w:val="0"/>
          <w:sz w:val="24"/>
        </w:rPr>
        <w:t xml:space="preserve">，並在輸出致能前以 </w:t>
      </w:r>
      <w:r>
        <w:rPr>
          <w:rFonts w:eastAsia="標楷體" w:ascii="Consolas" w:hAnsi="Consolas"/>
          <w:b w:val="0"/>
          <w:i w:val="0"/>
          <w:sz w:val="21"/>
        </w:rPr>
        <w:t>CURR?</w:t>
      </w:r>
      <w:r>
        <w:rPr>
          <w:rFonts w:eastAsia="標楷體" w:ascii="Times New Roman" w:hAnsi="Times New Roman"/>
          <w:b w:val="0"/>
          <w:i w:val="0"/>
          <w:sz w:val="24"/>
        </w:rPr>
        <w:t xml:space="preserve"> readback 驗證；若回讀值與目標差距超過容差 </w:t>
      </w:r>
      <w:r>
        <w:rPr>
          <w:rFonts w:eastAsia="標楷體" w:ascii="Times New Roman" w:hAnsi="Times New Roman"/>
          <w:b w:val="0"/>
          <w:i w:val="0"/>
          <w:sz w:val="24"/>
        </w:rPr>
        <w:t>max(5 mA, 5%× I_target)</w:t>
      </w:r>
      <w:r>
        <w:rPr>
          <w:rFonts w:eastAsia="標楷體" w:ascii="Times New Roman" w:hAnsi="Times New Roman"/>
          <w:b w:val="0"/>
          <w:i w:val="0"/>
          <w:sz w:val="24"/>
        </w:rPr>
        <w:t xml:space="preserve"> 則重試一次，再不過則拋出例外中止該步，絕不在電流未確認的情況下致能輸出。此紀律同時套用於 </w:t>
      </w:r>
      <w:r>
        <w:rPr>
          <w:rFonts w:eastAsia="標楷體" w:ascii="Consolas" w:hAnsi="Consolas"/>
          <w:b w:val="0"/>
          <w:i w:val="0"/>
          <w:sz w:val="21"/>
        </w:rPr>
        <w:t>round_runner</w:t>
      </w:r>
      <w:r>
        <w:rPr>
          <w:rFonts w:eastAsia="標楷體" w:ascii="Times New Roman" w:hAnsi="Times New Roman"/>
          <w:b w:val="0"/>
          <w:i w:val="0"/>
          <w:sz w:val="24"/>
        </w:rPr>
        <w:t xml:space="preserve"> 與 </w:t>
      </w:r>
      <w:r>
        <w:rPr>
          <w:rFonts w:eastAsia="標楷體" w:ascii="Consolas" w:hAnsi="Consolas"/>
          <w:b w:val="0"/>
          <w:i w:val="0"/>
          <w:sz w:val="21"/>
        </w:rPr>
        <w:t>gitt_ocv_runner</w:t>
      </w:r>
      <w:r>
        <w:rPr>
          <w:rFonts w:eastAsia="標楷體" w:ascii="Times New Roman" w:hAnsi="Times New Roman"/>
          <w:b w:val="0"/>
          <w:i w:val="0"/>
          <w:sz w:val="24"/>
        </w:rPr>
        <w:t xml:space="preserve"> 的每一次充電設定。</w:t>
      </w:r>
    </w:p>
    <w:p>
      <w:pPr>
        <w:spacing w:lineRule="atLeast" w:line="480"/>
        <w:ind w:firstLine="480"/>
        <w:jc w:val="both"/>
      </w:pPr>
      <w:r>
        <w:rPr>
          <w:rFonts w:eastAsia="標楷體" w:ascii="Times New Roman" w:hAnsi="Times New Roman"/>
          <w:b/>
          <w:i w:val="0"/>
          <w:sz w:val="24"/>
        </w:rPr>
        <w:t>陷阱二：PSU 關閉後的殘留電流誤判</w:t>
      </w:r>
      <w:r>
        <w:rPr>
          <w:rFonts w:eastAsia="標楷體" w:ascii="Times New Roman" w:hAnsi="Times New Roman"/>
          <w:b w:val="0"/>
          <w:i w:val="0"/>
          <w:sz w:val="24"/>
        </w:rPr>
        <w:t xml:space="preserve">。終止充電時下 </w:t>
      </w:r>
      <w:r>
        <w:rPr>
          <w:rFonts w:eastAsia="標楷體" w:ascii="Consolas" w:hAnsi="Consolas"/>
          <w:b w:val="0"/>
          <w:i w:val="0"/>
          <w:sz w:val="21"/>
        </w:rPr>
        <w:t>CHAN:OUTP OFF</w:t>
      </w:r>
      <w:r>
        <w:rPr>
          <w:rFonts w:eastAsia="標楷體" w:ascii="Times New Roman" w:hAnsi="Times New Roman"/>
          <w:b w:val="0"/>
          <w:i w:val="0"/>
          <w:sz w:val="24"/>
        </w:rPr>
        <w:t xml:space="preserve"> 後，IT6302 內部 A/D 更新率僅約 1～2 Hz，輸出 FET 亦需時間洩放殘餘電流，故「關閉後固定 sleep 100 ms 再硬判一次」會在合法的 0.1C taper 終止後仍讀到 </w:t>
      </w:r>
      <w:r>
        <w:rPr>
          <w:rFonts w:eastAsia="標楷體" w:ascii="Times New Roman" w:hAnsi="Times New Roman"/>
          <w:b w:val="0"/>
          <w:i w:val="0"/>
          <w:sz w:val="24"/>
        </w:rPr>
        <w:t>I ≈ 100</w:t>
      </w:r>
      <w:r>
        <w:rPr>
          <w:rFonts w:eastAsia="標楷體" w:ascii="Times New Roman" w:hAnsi="Times New Roman"/>
          <w:b w:val="0"/>
          <w:i w:val="0"/>
          <w:sz w:val="24"/>
        </w:rPr>
        <w:t xml:space="preserve"> mA，誤判為「PSU 沒關」而觸發緊急停機。修正為</w:t>
      </w:r>
      <w:r>
        <w:rPr>
          <w:rFonts w:eastAsia="標楷體" w:ascii="Times New Roman" w:hAnsi="Times New Roman"/>
          <w:b/>
          <w:i w:val="0"/>
          <w:sz w:val="24"/>
        </w:rPr>
        <w:t>輪詢驗證</w:t>
      </w:r>
      <w:r>
        <w:rPr>
          <w:rFonts w:eastAsia="標楷體" w:ascii="Times New Roman" w:hAnsi="Times New Roman"/>
          <w:b w:val="0"/>
          <w:i w:val="0"/>
          <w:sz w:val="24"/>
        </w:rPr>
        <w:t xml:space="preserve">：送出 OFF 後，以 150 ms 為間隔輪詢 </w:t>
      </w:r>
      <w:r>
        <w:rPr>
          <w:rFonts w:eastAsia="標楷體" w:ascii="Consolas" w:hAnsi="Consolas"/>
          <w:b w:val="0"/>
          <w:i w:val="0"/>
          <w:sz w:val="21"/>
        </w:rPr>
        <w:t>MEAS:CURR?</w:t>
      </w:r>
      <w:r>
        <w:rPr>
          <w:rFonts w:eastAsia="標楷體" w:ascii="Times New Roman" w:hAnsi="Times New Roman"/>
          <w:b w:val="0"/>
          <w:i w:val="0"/>
          <w:sz w:val="24"/>
        </w:rPr>
        <w:t xml:space="preserve">，最長等待 2 s，一旦 </w:t>
      </w:r>
      <w:r>
        <w:rPr>
          <w:rFonts w:eastAsia="標楷體" w:ascii="Times New Roman" w:hAnsi="Times New Roman"/>
          <w:b w:val="0"/>
          <w:i w:val="0"/>
          <w:sz w:val="24"/>
        </w:rPr>
        <w:t>|I| ≤ 50</w:t>
      </w:r>
      <w:r>
        <w:rPr>
          <w:rFonts w:eastAsia="標楷體" w:ascii="Times New Roman" w:hAnsi="Times New Roman"/>
          <w:b w:val="0"/>
          <w:i w:val="0"/>
          <w:sz w:val="24"/>
        </w:rPr>
        <w:t xml:space="preserve"> mA 即判定關閉成功提早通過；2 s 內始終高於門檻才判失敗。此法在不犧牲安全性的前提下，容忍了儀器固有的量測延遲。</w:t>
      </w:r>
    </w:p>
    <w:p>
      <w:pPr>
        <w:spacing w:lineRule="atLeast" w:line="480"/>
        <w:ind w:firstLine="480"/>
        <w:jc w:val="both"/>
      </w:pPr>
      <w:r>
        <w:rPr>
          <w:rFonts w:eastAsia="標楷體" w:ascii="Times New Roman" w:hAnsi="Times New Roman"/>
          <w:b w:val="0"/>
          <w:i w:val="0"/>
          <w:sz w:val="24"/>
        </w:rPr>
        <w:t>上述兩項修正體現了本平台的設計原則：</w:t>
      </w:r>
      <w:r>
        <w:rPr>
          <w:rFonts w:eastAsia="標楷體" w:ascii="Times New Roman" w:hAnsi="Times New Roman"/>
          <w:b/>
          <w:i w:val="0"/>
          <w:sz w:val="24"/>
        </w:rPr>
        <w:t>所有對外部設備的狀態改變都必須以回讀（readback／poll）驗證生效，而非假設指令即時、無誤地被執行</w:t>
      </w:r>
      <w:r>
        <w:rPr>
          <w:rFonts w:eastAsia="標楷體" w:ascii="Times New Roman" w:hAnsi="Times New Roman"/>
          <w:b w:val="0"/>
          <w:i w:val="0"/>
          <w:sz w:val="24"/>
        </w:rPr>
        <w:t>。這是長時間自動化實驗資料品質的根本保障。</w:t>
      </w:r>
    </w:p>
    <w:p>
      <w:pPr>
        <w:spacing w:before="240" w:after="120" w:lineRule="atLeast" w:line="360"/>
        <w:jc w:val="left"/>
      </w:pPr>
      <w:r>
        <w:rPr>
          <w:rFonts w:eastAsia="標楷體" w:ascii="Times New Roman" w:hAnsi="Times New Roman"/>
          <w:b/>
          <w:i w:val="0"/>
          <w:sz w:val="28"/>
        </w:rPr>
        <w:t>3.5 BenchInterlock 安全互鎖機制</w:t>
      </w:r>
    </w:p>
    <w:p>
      <w:pPr>
        <w:spacing w:lineRule="atLeast" w:line="480"/>
        <w:ind w:firstLine="480"/>
        <w:jc w:val="both"/>
      </w:pPr>
      <w:r>
        <w:rPr>
          <w:rFonts w:eastAsia="標楷體" w:ascii="Times New Roman" w:hAnsi="Times New Roman"/>
          <w:b w:val="0"/>
          <w:i w:val="0"/>
          <w:sz w:val="24"/>
        </w:rPr>
        <w:t xml:space="preserve">單顆電池測試平台沒有 BMS 作為硬體保護，軟體互鎖即是最後一道防線。本研究以 </w:t>
      </w:r>
      <w:r>
        <w:rPr>
          <w:rFonts w:eastAsia="標楷體" w:ascii="Consolas" w:hAnsi="Consolas"/>
          <w:b w:val="0"/>
          <w:i w:val="0"/>
          <w:sz w:val="21"/>
        </w:rPr>
        <w:t>BenchInterlock</w:t>
      </w:r>
      <w:r>
        <w:rPr>
          <w:rFonts w:eastAsia="標楷體" w:ascii="Times New Roman" w:hAnsi="Times New Roman"/>
          <w:b w:val="0"/>
          <w:i w:val="0"/>
          <w:sz w:val="24"/>
        </w:rPr>
        <w:t xml:space="preserve"> 狀態機與 </w:t>
      </w:r>
      <w:r>
        <w:rPr>
          <w:rFonts w:eastAsia="標楷體" w:ascii="Consolas" w:hAnsi="Consolas"/>
          <w:b w:val="0"/>
          <w:i w:val="0"/>
          <w:sz w:val="21"/>
        </w:rPr>
        <w:t>SafetyGuard</w:t>
      </w:r>
      <w:r>
        <w:rPr>
          <w:rFonts w:eastAsia="標楷體" w:ascii="Times New Roman" w:hAnsi="Times New Roman"/>
          <w:b w:val="0"/>
          <w:i w:val="0"/>
          <w:sz w:val="24"/>
        </w:rPr>
        <w:t xml:space="preserve"> 雙層守護，防止兩類可能損毀電池或設備的事故。</w:t>
      </w:r>
    </w:p>
    <w:p>
      <w:pPr>
        <w:spacing w:lineRule="atLeast" w:line="480"/>
        <w:ind w:firstLine="480"/>
        <w:jc w:val="both"/>
      </w:pPr>
      <w:r>
        <w:rPr>
          <w:rFonts w:eastAsia="標楷體" w:ascii="Times New Roman" w:hAnsi="Times New Roman"/>
          <w:b/>
          <w:i w:val="0"/>
          <w:sz w:val="24"/>
        </w:rPr>
        <w:t>BenchInterlock 狀態機</w:t>
      </w:r>
      <w:r>
        <w:rPr>
          <w:rFonts w:eastAsia="標楷體" w:ascii="Times New Roman" w:hAnsi="Times New Roman"/>
          <w:b w:val="0"/>
          <w:i w:val="0"/>
          <w:sz w:val="24"/>
        </w:rPr>
        <w:t>防止兩種錯誤的儀器組合（圖 3-2）：</w:t>
      </w:r>
    </w:p>
    <w:p>
      <w:pPr>
        <w:spacing w:lineRule="atLeast" w:line="260" w:before="120" w:after="0"/>
        <w:ind w:left="120"/>
        <w:jc w:val="left"/>
        <w:shd w:val="clear" w:color="auto" w:fill="F2F2F2"/>
      </w:pPr>
      <w:r>
        <w:rPr>
          <w:rFonts w:eastAsia="標楷體" w:ascii="Consolas" w:hAnsi="Consolas"/>
          <w:sz w:val="19"/>
        </w:rPr>
        <w:t xml:space="preserve">   IDLE ──start_charge──► CHARGING ──stop_charge──► COOLDOWN ──(t≥deadtime)──► IDLE</w:t>
      </w:r>
    </w:p>
    <w:p>
      <w:pPr>
        <w:spacing w:lineRule="atLeast" w:line="260" w:before="0" w:after="0"/>
        <w:ind w:left="120"/>
        <w:jc w:val="left"/>
        <w:shd w:val="clear" w:color="auto" w:fill="F2F2F2"/>
      </w:pPr>
      <w:r>
        <w:rPr>
          <w:rFonts w:eastAsia="標楷體" w:ascii="Consolas" w:hAnsi="Consolas"/>
          <w:sz w:val="19"/>
        </w:rPr>
        <w:t xml:space="preserve">   IDLE ──start_discharge──► DISCHARGING ──stop_discharge──► COOLDOWN ──(t≥deadtime)──► IDLE</w:t>
      </w:r>
    </w:p>
    <w:p>
      <w:pPr>
        <w:spacing w:lineRule="atLeast" w:line="260" w:before="0" w:after="120"/>
        <w:ind w:left="120"/>
        <w:jc w:val="left"/>
        <w:shd w:val="clear" w:color="auto" w:fill="F2F2F2"/>
      </w:pPr>
      <w:r>
        <w:rPr>
          <w:rFonts w:eastAsia="標楷體" w:ascii="Consolas" w:hAnsi="Consolas"/>
          <w:sz w:val="19"/>
        </w:rPr>
        <w:t>圖 3-2  BenchInterlock 狀態轉移；任何違反此圖的轉移都拋例外並強制 emergency_stop</w:t>
      </w:r>
    </w:p>
    <w:p>
      <w:pPr>
        <w:spacing w:lineRule="atLeast" w:line="480"/>
        <w:ind w:firstLine="480"/>
        <w:jc w:val="both"/>
      </w:pPr>
      <w:r>
        <w:rPr>
          <w:rFonts w:eastAsia="標楷體" w:ascii="Times New Roman" w:hAnsi="Times New Roman"/>
          <w:b w:val="0"/>
          <w:i w:val="0"/>
          <w:sz w:val="24"/>
        </w:rPr>
        <w:t>其防護的兩類失效模式為：(A) 電源輸出與電子負載同時致能——兩者對拉會使不可預期方向的電流流經電池，任一控制迴路的瑕疵都可能導致過充或熱失控；(B) 不經休息直接由充電切換到放電（或反向）——電池需時間鬆弛、操作者亦需確認匯流排狀態。狀態機以三項紀律落實防護：每次致能某一輸出前，先驗證</w:t>
      </w:r>
      <w:r>
        <w:rPr>
          <w:rFonts w:eastAsia="標楷體" w:ascii="Times New Roman" w:hAnsi="Times New Roman"/>
          <w:b/>
          <w:i w:val="0"/>
          <w:sz w:val="24"/>
        </w:rPr>
        <w:t>另一</w:t>
      </w:r>
      <w:r>
        <w:rPr>
          <w:rFonts w:eastAsia="標楷體" w:ascii="Times New Roman" w:hAnsi="Times New Roman"/>
          <w:b w:val="0"/>
          <w:i w:val="0"/>
          <w:sz w:val="24"/>
        </w:rPr>
        <w:t>設備確實關閉（</w:t>
      </w:r>
      <w:r>
        <w:rPr>
          <w:rFonts w:eastAsia="標楷體" w:ascii="Consolas" w:hAnsi="Consolas"/>
          <w:b w:val="0"/>
          <w:i w:val="0"/>
          <w:sz w:val="21"/>
        </w:rPr>
        <w:t>_load_off_verified</w:t>
      </w:r>
      <w:r>
        <w:rPr>
          <w:rFonts w:eastAsia="標楷體" w:ascii="Times New Roman" w:hAnsi="Times New Roman"/>
          <w:b w:val="0"/>
          <w:i w:val="0"/>
          <w:sz w:val="24"/>
        </w:rPr>
        <w:t>／</w:t>
      </w:r>
      <w:r>
        <w:rPr>
          <w:rFonts w:eastAsia="標楷體" w:ascii="Consolas" w:hAnsi="Consolas"/>
          <w:b w:val="0"/>
          <w:i w:val="0"/>
          <w:sz w:val="21"/>
        </w:rPr>
        <w:t>_psu_off_verified</w:t>
      </w:r>
      <w:r>
        <w:rPr>
          <w:rFonts w:eastAsia="標楷體" w:ascii="Times New Roman" w:hAnsi="Times New Roman"/>
          <w:b w:val="0"/>
          <w:i w:val="0"/>
          <w:sz w:val="24"/>
        </w:rPr>
        <w:t xml:space="preserve">，後者即 3.4 的輪詢驗證）；每次關閉後強制 5 s </w:t>
      </w:r>
      <w:r>
        <w:rPr>
          <w:rFonts w:eastAsia="標楷體" w:ascii="Times New Roman" w:hAnsi="Times New Roman"/>
          <w:b/>
          <w:i w:val="0"/>
          <w:sz w:val="24"/>
        </w:rPr>
        <w:t>dead-time</w:t>
      </w:r>
      <w:r>
        <w:rPr>
          <w:rFonts w:eastAsia="標楷體" w:ascii="Times New Roman" w:hAnsi="Times New Roman"/>
          <w:b w:val="0"/>
          <w:i w:val="0"/>
          <w:sz w:val="24"/>
        </w:rPr>
        <w:t xml:space="preserve"> 冷卻才允許下一次轉移；任何違反狀態圖的呼叫立即拋出 </w:t>
      </w:r>
      <w:r>
        <w:rPr>
          <w:rFonts w:eastAsia="標楷體" w:ascii="Consolas" w:hAnsi="Consolas"/>
          <w:b w:val="0"/>
          <w:i w:val="0"/>
          <w:sz w:val="21"/>
        </w:rPr>
        <w:t>BenchInterlockError</w:t>
      </w:r>
      <w:r>
        <w:rPr>
          <w:rFonts w:eastAsia="標楷體" w:ascii="Times New Roman" w:hAnsi="Times New Roman"/>
          <w:b w:val="0"/>
          <w:i w:val="0"/>
          <w:sz w:val="24"/>
        </w:rPr>
        <w:t xml:space="preserve"> 並強制雙路關斷。</w:t>
      </w:r>
      <w:r>
        <w:rPr>
          <w:rFonts w:eastAsia="標楷體" w:ascii="Consolas" w:hAnsi="Consolas"/>
          <w:b w:val="0"/>
          <w:i w:val="0"/>
          <w:sz w:val="21"/>
        </w:rPr>
        <w:t>start_discharge</w:t>
      </w:r>
      <w:r>
        <w:rPr>
          <w:rFonts w:eastAsia="標楷體" w:ascii="Times New Roman" w:hAnsi="Times New Roman"/>
          <w:b w:val="0"/>
          <w:i w:val="0"/>
          <w:sz w:val="24"/>
        </w:rPr>
        <w:t xml:space="preserve"> 在仍處 </w:t>
      </w:r>
      <w:r>
        <w:rPr>
          <w:rFonts w:eastAsia="標楷體" w:ascii="Consolas" w:hAnsi="Consolas"/>
          <w:b w:val="0"/>
          <w:i w:val="0"/>
          <w:sz w:val="21"/>
        </w:rPr>
        <w:t>CHARGING</w:t>
      </w:r>
      <w:r>
        <w:rPr>
          <w:rFonts w:eastAsia="標楷體" w:ascii="Times New Roman" w:hAnsi="Times New Roman"/>
          <w:b w:val="0"/>
          <w:i w:val="0"/>
          <w:sz w:val="24"/>
        </w:rPr>
        <w:t xml:space="preserve"> 時會直接拒絕，要求顯式先 </w:t>
      </w:r>
      <w:r>
        <w:rPr>
          <w:rFonts w:eastAsia="標楷體" w:ascii="Consolas" w:hAnsi="Consolas"/>
          <w:b w:val="0"/>
          <w:i w:val="0"/>
          <w:sz w:val="21"/>
        </w:rPr>
        <w:t>stop_charge</w:t>
      </w:r>
      <w:r>
        <w:rPr>
          <w:rFonts w:eastAsia="標楷體" w:ascii="Times New Roman" w:hAnsi="Times New Roman"/>
          <w:b w:val="0"/>
          <w:i w:val="0"/>
          <w:sz w:val="24"/>
        </w:rPr>
        <w:t>，杜絕捷徑切換。</w:t>
      </w:r>
    </w:p>
    <w:p>
      <w:pPr>
        <w:spacing w:lineRule="atLeast" w:line="480"/>
        <w:ind w:firstLine="480"/>
        <w:jc w:val="both"/>
      </w:pPr>
      <w:r>
        <w:rPr>
          <w:rFonts w:eastAsia="標楷體" w:ascii="Times New Roman" w:hAnsi="Times New Roman"/>
          <w:b/>
          <w:i w:val="0"/>
          <w:sz w:val="24"/>
        </w:rPr>
        <w:t>SafetyGuard 雙層電壓／電流封套</w:t>
      </w:r>
      <w:r>
        <w:rPr>
          <w:rFonts w:eastAsia="標楷體" w:ascii="Times New Roman" w:hAnsi="Times New Roman"/>
          <w:b w:val="0"/>
          <w:i w:val="0"/>
          <w:sz w:val="24"/>
        </w:rPr>
        <w:t>：第一層為</w:t>
      </w:r>
      <w:r>
        <w:rPr>
          <w:rFonts w:eastAsia="標楷體" w:ascii="Times New Roman" w:hAnsi="Times New Roman"/>
          <w:b/>
          <w:i w:val="0"/>
          <w:sz w:val="24"/>
        </w:rPr>
        <w:t>絕對封套</w:t>
      </w:r>
      <w:r>
        <w:rPr>
          <w:rFonts w:eastAsia="標楷體" w:ascii="Times New Roman" w:hAnsi="Times New Roman"/>
          <w:b w:val="0"/>
          <w:i w:val="0"/>
          <w:sz w:val="24"/>
        </w:rPr>
        <w:t>，即化學體系的硬限值（NMC：</w:t>
      </w:r>
      <w:r>
        <w:rPr>
          <w:rFonts w:eastAsia="標楷體" w:ascii="Times New Roman" w:hAnsi="Times New Roman"/>
          <w:b w:val="0"/>
          <w:i w:val="0"/>
          <w:sz w:val="24"/>
        </w:rPr>
        <w:t>V_abs=[2.50, 4.25]</w:t>
      </w:r>
      <w:r>
        <w:rPr>
          <w:rFonts w:eastAsia="標楷體" w:ascii="Times New Roman" w:hAnsi="Times New Roman"/>
          <w:b w:val="0"/>
          <w:i w:val="0"/>
          <w:sz w:val="24"/>
        </w:rPr>
        <w:t xml:space="preserve"> V、</w:t>
      </w:r>
      <w:r>
        <w:rPr>
          <w:rFonts w:eastAsia="標楷體" w:ascii="Times New Roman" w:hAnsi="Times New Roman"/>
          <w:b w:val="0"/>
          <w:i w:val="0"/>
          <w:sz w:val="24"/>
        </w:rPr>
        <w:t>|I| ≤ 4.30</w:t>
      </w:r>
      <w:r>
        <w:rPr>
          <w:rFonts w:eastAsia="標楷體" w:ascii="Times New Roman" w:hAnsi="Times New Roman"/>
          <w:b w:val="0"/>
          <w:i w:val="0"/>
          <w:sz w:val="24"/>
        </w:rPr>
        <w:t xml:space="preserve"> A 之接線限值），跨越即單點立即跳脫、不去抖；第二層為</w:t>
      </w:r>
      <w:r>
        <w:rPr>
          <w:rFonts w:eastAsia="標楷體" w:ascii="Times New Roman" w:hAnsi="Times New Roman"/>
          <w:b/>
          <w:i w:val="0"/>
          <w:sz w:val="24"/>
        </w:rPr>
        <w:t>軟跳脫封套</w:t>
      </w:r>
      <w:r>
        <w:rPr>
          <w:rFonts w:eastAsia="標楷體" w:ascii="Times New Roman" w:hAnsi="Times New Roman"/>
          <w:b w:val="0"/>
          <w:i w:val="0"/>
          <w:sz w:val="24"/>
        </w:rPr>
        <w:t xml:space="preserve">，緊貼使用者設定值外緣（充放電截止再外推 50 mV），需連續 </w:t>
      </w:r>
      <w:r>
        <w:rPr>
          <w:rFonts w:eastAsia="標楷體" w:ascii="Times New Roman" w:hAnsi="Times New Roman"/>
          <w:b w:val="0"/>
          <w:i w:val="0"/>
          <w:sz w:val="24"/>
        </w:rPr>
        <w:t>N=2</w:t>
      </w:r>
      <w:r>
        <w:rPr>
          <w:rFonts w:eastAsia="標楷體" w:ascii="Times New Roman" w:hAnsi="Times New Roman"/>
          <w:b w:val="0"/>
          <w:i w:val="0"/>
          <w:sz w:val="24"/>
        </w:rPr>
        <w:t xml:space="preserve"> 個壞樣本才跳脫，以容忍正常操作中的暫態雜訊，但仍遠在絕對地板之前動作。各 phase 腳本每取樣一次即呼叫 </w:t>
      </w:r>
      <w:r>
        <w:rPr>
          <w:rFonts w:eastAsia="標楷體" w:ascii="Consolas" w:hAnsi="Consolas"/>
          <w:b w:val="0"/>
          <w:i w:val="0"/>
          <w:sz w:val="21"/>
        </w:rPr>
        <w:t>guard.check(v, i)</w:t>
      </w:r>
      <w:r>
        <w:rPr>
          <w:rFonts w:eastAsia="標楷體" w:ascii="Times New Roman" w:hAnsi="Times New Roman"/>
          <w:b w:val="0"/>
          <w:i w:val="0"/>
          <w:sz w:val="24"/>
        </w:rPr>
        <w:t xml:space="preserve">，任何跳脫拋出 </w:t>
      </w:r>
      <w:r>
        <w:rPr>
          <w:rFonts w:eastAsia="標楷體" w:ascii="Consolas" w:hAnsi="Consolas"/>
          <w:b w:val="0"/>
          <w:i w:val="0"/>
          <w:sz w:val="21"/>
        </w:rPr>
        <w:t>SafetyAbort</w:t>
      </w:r>
      <w:r>
        <w:rPr>
          <w:rFonts w:eastAsia="標楷體" w:ascii="Times New Roman" w:hAnsi="Times New Roman"/>
          <w:b w:val="0"/>
          <w:i w:val="0"/>
          <w:sz w:val="24"/>
        </w:rPr>
        <w:t xml:space="preserve">，並由腳本的 </w:t>
      </w:r>
      <w:r>
        <w:rPr>
          <w:rFonts w:eastAsia="標楷體" w:ascii="Consolas" w:hAnsi="Consolas"/>
          <w:b w:val="0"/>
          <w:i w:val="0"/>
          <w:sz w:val="21"/>
        </w:rPr>
        <w:t>finally</w:t>
      </w:r>
      <w:r>
        <w:rPr>
          <w:rFonts w:eastAsia="標楷體" w:ascii="Times New Roman" w:hAnsi="Times New Roman"/>
          <w:b w:val="0"/>
          <w:i w:val="0"/>
          <w:sz w:val="24"/>
        </w:rPr>
        <w:t xml:space="preserve"> 區塊經 </w:t>
      </w:r>
      <w:r>
        <w:rPr>
          <w:rFonts w:eastAsia="標楷體" w:ascii="Consolas" w:hAnsi="Consolas"/>
          <w:b w:val="0"/>
          <w:i w:val="0"/>
          <w:sz w:val="21"/>
        </w:rPr>
        <w:t>emergency_stop()</w:t>
      </w:r>
      <w:r>
        <w:rPr>
          <w:rFonts w:eastAsia="標楷體" w:ascii="Times New Roman" w:hAnsi="Times New Roman"/>
          <w:b w:val="0"/>
          <w:i w:val="0"/>
          <w:sz w:val="24"/>
        </w:rPr>
        <w:t xml:space="preserve"> 將雙路置於安全狀態。</w:t>
      </w:r>
    </w:p>
    <w:p>
      <w:pPr>
        <w:spacing w:lineRule="atLeast" w:line="480"/>
        <w:ind w:firstLine="480"/>
        <w:jc w:val="both"/>
      </w:pPr>
      <w:r>
        <w:rPr>
          <w:rFonts w:eastAsia="標楷體" w:ascii="Times New Roman" w:hAnsi="Times New Roman"/>
          <w:b w:val="0"/>
          <w:i w:val="0"/>
          <w:sz w:val="24"/>
        </w:rPr>
        <w:t>此雙層設計使「化學紅線零容忍、操作雜訊有去抖」兩個看似衝突的需求得以並存，是長時間實驗能安全無人值守的前提。</w:t>
      </w:r>
    </w:p>
    <w:p>
      <w:pPr>
        <w:spacing w:before="240" w:after="120" w:lineRule="atLeast" w:line="360"/>
        <w:jc w:val="left"/>
      </w:pPr>
      <w:r>
        <w:rPr>
          <w:rFonts w:eastAsia="標楷體" w:ascii="Times New Roman" w:hAnsi="Times New Roman"/>
          <w:b/>
          <w:i w:val="0"/>
          <w:sz w:val="28"/>
        </w:rPr>
        <w:t>3.6 跨輪自動化測試協定（round_runner 與 cycle_log）</w:t>
      </w:r>
    </w:p>
    <w:p>
      <w:pPr>
        <w:spacing w:lineRule="atLeast" w:line="480"/>
        <w:ind w:firstLine="480"/>
        <w:jc w:val="both"/>
      </w:pPr>
      <w:r>
        <w:rPr>
          <w:rFonts w:eastAsia="標楷體" w:ascii="Times New Roman" w:hAnsi="Times New Roman"/>
          <w:b w:val="0"/>
          <w:i w:val="0"/>
          <w:sz w:val="24"/>
        </w:rPr>
        <w:t>第四章的方法比較需要橫跨多種放電 C-rate、且可跨多輪累積的乾淨資料。</w:t>
      </w:r>
      <w:r>
        <w:rPr>
          <w:rFonts w:eastAsia="標楷體" w:ascii="Consolas" w:hAnsi="Consolas"/>
          <w:b w:val="0"/>
          <w:i w:val="0"/>
          <w:sz w:val="21"/>
        </w:rPr>
        <w:t>round_runner.py</w:t>
      </w:r>
      <w:r>
        <w:rPr>
          <w:rFonts w:eastAsia="標楷體" w:ascii="Times New Roman" w:hAnsi="Times New Roman"/>
          <w:b w:val="0"/>
          <w:i w:val="0"/>
          <w:sz w:val="24"/>
        </w:rPr>
        <w:t xml:space="preserve"> 即為此設計的跨輪自動化協定。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 xml:space="preserve">：一輪（round）由四個 (充電, 休息, 放電, 休息) 區塊串成，充電固定為 0.5C（高倍率充電會傷害電池並污染 SoH 基準），放電依序掃過 </w:t>
      </w:r>
      <w:r>
        <w:rPr>
          <w:rFonts w:eastAsia="標楷體" w:ascii="Times New Roman" w:hAnsi="Times New Roman"/>
          <w:b w:val="0"/>
          <w:i w:val="0"/>
          <w:sz w:val="24"/>
        </w:rPr>
        <w:t>0.5, 1.0, 1.5, 2.0</w:t>
      </w:r>
      <w:r>
        <w:rPr>
          <w:rFonts w:eastAsia="標楷體" w:ascii="Times New Roman" w:hAnsi="Times New Roman"/>
          <w:b w:val="0"/>
          <w:i w:val="0"/>
          <w:sz w:val="24"/>
        </w:rPr>
        <w:t>C 四種倍率，每次轉向間休息 30 min。一輪約 16～18 h（2000 mAh NMC）。協定流程如表 3-4。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4"/>
        <w:gridCol w:w="2991"/>
        <w:gridCol w:w="1682"/>
        <w:gridCol w:w="2993"/>
      </w:tblGrid>
      <w:tr>
        <w:tc>
          <w:tcPr>
            <w:tcW w:type="dxa" w:w="934"/>
            <w:shd w:val="clear" w:color="auto" w:fill="D9E2F3"/>
            <w:vAlign w:val="center"/>
          </w:tcPr>
          <w:p>
            <w:pPr>
              <w:spacing w:before="20" w:after="20" w:lineRule="atLeast" w:line="280"/>
              <w:jc w:val="center"/>
            </w:pPr>
            <w:r>
              <w:rPr>
                <w:rFonts w:eastAsia="標楷體" w:ascii="Times New Roman" w:hAnsi="Times New Roman"/>
                <w:b/>
                <w:i w:val="0"/>
                <w:sz w:val="21"/>
              </w:rPr>
              <w:t>步驟</w:t>
            </w:r>
          </w:p>
        </w:tc>
        <w:tc>
          <w:tcPr>
            <w:tcW w:type="dxa" w:w="2991"/>
            <w:shd w:val="clear" w:color="auto" w:fill="D9E2F3"/>
            <w:vAlign w:val="center"/>
          </w:tcPr>
          <w:p>
            <w:pPr>
              <w:spacing w:before="20" w:after="20" w:lineRule="atLeast" w:line="280"/>
              <w:jc w:val="center"/>
            </w:pPr>
            <w:r>
              <w:rPr>
                <w:rFonts w:eastAsia="標楷體" w:ascii="Times New Roman" w:hAnsi="Times New Roman"/>
                <w:b/>
                <w:i w:val="0"/>
                <w:sz w:val="21"/>
              </w:rPr>
              <w:t>動作</w:t>
            </w:r>
          </w:p>
        </w:tc>
        <w:tc>
          <w:tcPr>
            <w:tcW w:type="dxa" w:w="1682"/>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993"/>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934"/>
            <w:vAlign w:val="center"/>
          </w:tcPr>
          <w:p>
            <w:pPr>
              <w:spacing w:before="20" w:after="20" w:lineRule="atLeast" w:line="280"/>
              <w:jc w:val="left"/>
            </w:pPr>
            <w:r>
              <w:rPr>
                <w:rFonts w:eastAsia="標楷體" w:ascii="Times New Roman" w:hAnsi="Times New Roman"/>
                <w:b w:val="0"/>
                <w:i w:val="0"/>
                <w:sz w:val="21"/>
              </w:rPr>
              <w:t>1</w:t>
            </w:r>
          </w:p>
        </w:tc>
        <w:tc>
          <w:tcPr>
            <w:tcW w:type="dxa" w:w="2991"/>
            <w:vAlign w:val="center"/>
          </w:tcPr>
          <w:p>
            <w:pPr>
              <w:spacing w:before="20" w:after="20" w:lineRule="atLeast" w:line="280"/>
              <w:jc w:val="left"/>
            </w:pPr>
            <w:r>
              <w:rPr>
                <w:rFonts w:eastAsia="標楷體" w:ascii="Times New Roman" w:hAnsi="Times New Roman"/>
                <w:b w:val="0"/>
                <w:i w:val="0"/>
                <w:sz w:val="21"/>
              </w:rPr>
              <w:t>充電</w:t>
            </w:r>
          </w:p>
        </w:tc>
        <w:tc>
          <w:tcPr>
            <w:tcW w:type="dxa" w:w="1682"/>
            <w:vAlign w:val="center"/>
          </w:tcPr>
          <w:p>
            <w:pPr>
              <w:spacing w:before="20" w:after="20" w:lineRule="atLeast" w:line="280"/>
              <w:jc w:val="left"/>
            </w:pPr>
            <w:r>
              <w:rPr>
                <w:rFonts w:eastAsia="標楷體" w:ascii="Times New Roman" w:hAnsi="Times New Roman"/>
                <w:b w:val="0"/>
                <w:i w:val="0"/>
                <w:sz w:val="21"/>
              </w:rPr>
              <w:t>0.5C → 截止</w:t>
            </w:r>
          </w:p>
        </w:tc>
        <w:tc>
          <w:tcPr>
            <w:tcW w:type="dxa" w:w="2993"/>
            <w:vAlign w:val="center"/>
          </w:tcPr>
          <w:p>
            <w:pPr>
              <w:spacing w:before="20" w:after="20" w:lineRule="atLeast" w:line="280"/>
              <w:jc w:val="left"/>
            </w:pPr>
            <w:r>
              <w:rPr>
                <w:rFonts w:eastAsia="標楷體" w:ascii="Times New Roman" w:hAnsi="Times New Roman"/>
                <w:b w:val="0"/>
                <w:i w:val="0"/>
                <w:sz w:val="21"/>
              </w:rPr>
              <w:t>充飽</w:t>
            </w:r>
          </w:p>
        </w:tc>
      </w:tr>
      <w:tr>
        <w:tc>
          <w:tcPr>
            <w:tcW w:type="dxa" w:w="934"/>
            <w:vAlign w:val="center"/>
          </w:tcPr>
          <w:p>
            <w:pPr>
              <w:spacing w:before="20" w:after="20" w:lineRule="atLeast" w:line="280"/>
              <w:jc w:val="left"/>
            </w:pPr>
            <w:r>
              <w:rPr>
                <w:rFonts w:eastAsia="標楷體" w:ascii="Times New Roman" w:hAnsi="Times New Roman"/>
                <w:b w:val="0"/>
                <w:i w:val="0"/>
                <w:sz w:val="21"/>
              </w:rPr>
              <w:t>2</w:t>
            </w:r>
          </w:p>
        </w:tc>
        <w:tc>
          <w:tcPr>
            <w:tcW w:type="dxa" w:w="2991"/>
            <w:vAlign w:val="center"/>
          </w:tcPr>
          <w:p>
            <w:pPr>
              <w:spacing w:before="20" w:after="20" w:lineRule="atLeast" w:line="280"/>
              <w:jc w:val="left"/>
            </w:pPr>
            <w:r>
              <w:rPr>
                <w:rFonts w:eastAsia="標楷體" w:ascii="Times New Roman" w:hAnsi="Times New Roman"/>
                <w:b w:val="0"/>
                <w:i w:val="0"/>
                <w:sz w:val="21"/>
              </w:rPr>
              <w:t>休息</w:t>
            </w:r>
          </w:p>
        </w:tc>
        <w:tc>
          <w:tcPr>
            <w:tcW w:type="dxa" w:w="1682"/>
            <w:vAlign w:val="center"/>
          </w:tcPr>
          <w:p>
            <w:pPr>
              <w:spacing w:before="20" w:after="20" w:lineRule="atLeast" w:line="280"/>
              <w:jc w:val="left"/>
            </w:pPr>
            <w:r>
              <w:rPr>
                <w:rFonts w:eastAsia="標楷體" w:ascii="Times New Roman" w:hAnsi="Times New Roman"/>
                <w:b w:val="0"/>
                <w:i w:val="0"/>
                <w:sz w:val="21"/>
              </w:rPr>
              <w:t>—</w:t>
            </w:r>
          </w:p>
        </w:tc>
        <w:tc>
          <w:tcPr>
            <w:tcW w:type="dxa" w:w="2993"/>
            <w:vAlign w:val="center"/>
          </w:tcPr>
          <w:p>
            <w:pPr>
              <w:spacing w:before="20" w:after="20" w:lineRule="atLeast" w:line="280"/>
              <w:jc w:val="left"/>
            </w:pPr>
            <w:r>
              <w:rPr>
                <w:rFonts w:eastAsia="標楷體" w:ascii="Times New Roman" w:hAnsi="Times New Roman"/>
                <w:b w:val="0"/>
                <w:i w:val="0"/>
                <w:sz w:val="21"/>
              </w:rPr>
              <w:t>30 min 鬆弛</w:t>
            </w:r>
          </w:p>
        </w:tc>
      </w:tr>
      <w:tr>
        <w:tc>
          <w:tcPr>
            <w:tcW w:type="dxa" w:w="934"/>
            <w:vAlign w:val="center"/>
          </w:tcPr>
          <w:p>
            <w:pPr>
              <w:spacing w:before="20" w:after="20" w:lineRule="atLeast" w:line="280"/>
              <w:jc w:val="left"/>
            </w:pPr>
            <w:r>
              <w:rPr>
                <w:rFonts w:eastAsia="標楷體" w:ascii="Times New Roman" w:hAnsi="Times New Roman"/>
                <w:b w:val="0"/>
                <w:i w:val="0"/>
                <w:sz w:val="21"/>
              </w:rPr>
              <w:t>3</w:t>
            </w:r>
          </w:p>
        </w:tc>
        <w:tc>
          <w:tcPr>
            <w:tcW w:type="dxa" w:w="2991"/>
            <w:vAlign w:val="center"/>
          </w:tcPr>
          <w:p>
            <w:pPr>
              <w:spacing w:before="20" w:after="20" w:lineRule="atLeast" w:line="280"/>
              <w:jc w:val="left"/>
            </w:pPr>
            <w:r>
              <w:rPr>
                <w:rFonts w:eastAsia="標楷體" w:ascii="Times New Roman" w:hAnsi="Times New Roman"/>
                <w:b w:val="0"/>
                <w:i w:val="0"/>
                <w:sz w:val="21"/>
              </w:rPr>
              <w:t>放電</w:t>
            </w:r>
          </w:p>
        </w:tc>
        <w:tc>
          <w:tcPr>
            <w:tcW w:type="dxa" w:w="1682"/>
            <w:vAlign w:val="center"/>
          </w:tcPr>
          <w:p>
            <w:pPr>
              <w:spacing w:before="20" w:after="20" w:lineRule="atLeast" w:line="280"/>
              <w:jc w:val="left"/>
            </w:pPr>
            <w:r>
              <w:rPr>
                <w:rFonts w:eastAsia="標楷體" w:ascii="Times New Roman" w:hAnsi="Times New Roman"/>
                <w:b w:val="0"/>
                <w:i w:val="0"/>
                <w:sz w:val="21"/>
              </w:rPr>
              <w:t>0.5C → 截止</w:t>
            </w:r>
          </w:p>
        </w:tc>
        <w:tc>
          <w:tcPr>
            <w:tcW w:type="dxa" w:w="2993"/>
            <w:vAlign w:val="center"/>
          </w:tcPr>
          <w:p>
            <w:pPr>
              <w:spacing w:before="20" w:after="20" w:lineRule="atLeast" w:line="280"/>
              <w:jc w:val="left"/>
            </w:pPr>
            <w:r>
              <w:rPr>
                <w:rFonts w:eastAsia="標楷體" w:ascii="Times New Roman" w:hAnsi="Times New Roman"/>
                <w:b w:val="0"/>
                <w:i w:val="0"/>
                <w:sz w:val="21"/>
              </w:rPr>
              <w:t>基準 V(SoC) @ 0.5C</w:t>
            </w:r>
          </w:p>
        </w:tc>
      </w:tr>
      <w:tr>
        <w:tc>
          <w:tcPr>
            <w:tcW w:type="dxa" w:w="934"/>
            <w:vAlign w:val="center"/>
          </w:tcPr>
          <w:p>
            <w:pPr>
              <w:spacing w:before="20" w:after="20" w:lineRule="atLeast" w:line="280"/>
              <w:jc w:val="left"/>
            </w:pPr>
            <w:r>
              <w:rPr>
                <w:rFonts w:eastAsia="標楷體" w:ascii="Times New Roman" w:hAnsi="Times New Roman"/>
                <w:b w:val="0"/>
                <w:i w:val="0"/>
                <w:sz w:val="21"/>
              </w:rPr>
              <w:t>4</w:t>
            </w:r>
          </w:p>
        </w:tc>
        <w:tc>
          <w:tcPr>
            <w:tcW w:type="dxa" w:w="2991"/>
            <w:vAlign w:val="center"/>
          </w:tcPr>
          <w:p>
            <w:pPr>
              <w:spacing w:before="20" w:after="20" w:lineRule="atLeast" w:line="280"/>
              <w:jc w:val="left"/>
            </w:pPr>
            <w:r>
              <w:rPr>
                <w:rFonts w:eastAsia="標楷體" w:ascii="Times New Roman" w:hAnsi="Times New Roman"/>
                <w:b w:val="0"/>
                <w:i w:val="0"/>
                <w:sz w:val="21"/>
              </w:rPr>
              <w:t>休息</w:t>
            </w:r>
          </w:p>
        </w:tc>
        <w:tc>
          <w:tcPr>
            <w:tcW w:type="dxa" w:w="1682"/>
            <w:vAlign w:val="center"/>
          </w:tcPr>
          <w:p>
            <w:pPr>
              <w:spacing w:before="20" w:after="20" w:lineRule="atLeast" w:line="280"/>
              <w:jc w:val="left"/>
            </w:pPr>
            <w:r>
              <w:rPr>
                <w:rFonts w:eastAsia="標楷體" w:ascii="Times New Roman" w:hAnsi="Times New Roman"/>
                <w:b w:val="0"/>
                <w:i w:val="0"/>
                <w:sz w:val="21"/>
              </w:rPr>
              <w:t>—</w:t>
            </w:r>
          </w:p>
        </w:tc>
        <w:tc>
          <w:tcPr>
            <w:tcW w:type="dxa" w:w="2993"/>
            <w:vAlign w:val="center"/>
          </w:tcPr>
          <w:p>
            <w:pPr>
              <w:spacing w:before="20" w:after="20" w:lineRule="atLeast" w:line="280"/>
              <w:jc w:val="left"/>
            </w:pPr>
            <w:r>
              <w:rPr>
                <w:rFonts w:eastAsia="標楷體" w:ascii="Times New Roman" w:hAnsi="Times New Roman"/>
                <w:b w:val="0"/>
                <w:i w:val="0"/>
                <w:sz w:val="21"/>
              </w:rPr>
              <w:t>30 min</w:t>
            </w:r>
          </w:p>
        </w:tc>
      </w:tr>
      <w:tr>
        <w:tc>
          <w:tcPr>
            <w:tcW w:type="dxa" w:w="934"/>
            <w:vAlign w:val="center"/>
          </w:tcPr>
          <w:p>
            <w:pPr>
              <w:spacing w:before="20" w:after="20" w:lineRule="atLeast" w:line="280"/>
              <w:jc w:val="left"/>
            </w:pPr>
            <w:r>
              <w:rPr>
                <w:rFonts w:eastAsia="標楷體" w:ascii="Times New Roman" w:hAnsi="Times New Roman"/>
                <w:b w:val="0"/>
                <w:i w:val="0"/>
                <w:sz w:val="21"/>
              </w:rPr>
              <w:t>5–8</w:t>
            </w:r>
          </w:p>
        </w:tc>
        <w:tc>
          <w:tcPr>
            <w:tcW w:type="dxa" w:w="2991"/>
            <w:vAlign w:val="center"/>
          </w:tcPr>
          <w:p>
            <w:pPr>
              <w:spacing w:before="20" w:after="20" w:lineRule="atLeast" w:line="280"/>
              <w:jc w:val="left"/>
            </w:pPr>
            <w:r>
              <w:rPr>
                <w:rFonts w:eastAsia="標楷體" w:ascii="Times New Roman" w:hAnsi="Times New Roman"/>
                <w:b w:val="0"/>
                <w:i w:val="0"/>
                <w:sz w:val="21"/>
              </w:rPr>
              <w:t>充電→休息→放電 1.0C→休息</w:t>
            </w:r>
          </w:p>
        </w:tc>
        <w:tc>
          <w:tcPr>
            <w:tcW w:type="dxa" w:w="1682"/>
            <w:vAlign w:val="center"/>
          </w:tcPr>
          <w:p>
            <w:pPr>
              <w:spacing w:before="20" w:after="20" w:lineRule="atLeast" w:line="280"/>
              <w:jc w:val="left"/>
            </w:pPr>
          </w:p>
        </w:tc>
        <w:tc>
          <w:tcPr>
            <w:tcW w:type="dxa" w:w="2993"/>
            <w:vAlign w:val="center"/>
          </w:tcPr>
          <w:p>
            <w:pPr>
              <w:spacing w:before="20" w:after="20" w:lineRule="atLeast" w:line="280"/>
              <w:jc w:val="left"/>
            </w:pPr>
            <w:r>
              <w:rPr>
                <w:rFonts w:eastAsia="標楷體" w:ascii="Times New Roman" w:hAnsi="Times New Roman"/>
                <w:b w:val="0"/>
                <w:i w:val="0"/>
                <w:sz w:val="21"/>
              </w:rPr>
              <w:t>rate-capability</w:t>
            </w:r>
          </w:p>
        </w:tc>
      </w:tr>
      <w:tr>
        <w:tc>
          <w:tcPr>
            <w:tcW w:type="dxa" w:w="934"/>
            <w:vAlign w:val="center"/>
          </w:tcPr>
          <w:p>
            <w:pPr>
              <w:spacing w:before="20" w:after="20" w:lineRule="atLeast" w:line="280"/>
              <w:jc w:val="left"/>
            </w:pPr>
            <w:r>
              <w:rPr>
                <w:rFonts w:eastAsia="標楷體" w:ascii="Times New Roman" w:hAnsi="Times New Roman"/>
                <w:b w:val="0"/>
                <w:i w:val="0"/>
                <w:sz w:val="21"/>
              </w:rPr>
              <w:t>9–12</w:t>
            </w:r>
          </w:p>
        </w:tc>
        <w:tc>
          <w:tcPr>
            <w:tcW w:type="dxa" w:w="2991"/>
            <w:vAlign w:val="center"/>
          </w:tcPr>
          <w:p>
            <w:pPr>
              <w:spacing w:before="20" w:after="20" w:lineRule="atLeast" w:line="280"/>
              <w:jc w:val="left"/>
            </w:pPr>
            <w:r>
              <w:rPr>
                <w:rFonts w:eastAsia="標楷體" w:ascii="Times New Roman" w:hAnsi="Times New Roman"/>
                <w:b w:val="0"/>
                <w:i w:val="0"/>
                <w:sz w:val="21"/>
              </w:rPr>
              <w:t>充電→休息→放電 1.5C→休息</w:t>
            </w:r>
          </w:p>
        </w:tc>
        <w:tc>
          <w:tcPr>
            <w:tcW w:type="dxa" w:w="1682"/>
            <w:vAlign w:val="center"/>
          </w:tcPr>
          <w:p>
            <w:pPr>
              <w:spacing w:before="20" w:after="20" w:lineRule="atLeast" w:line="280"/>
              <w:jc w:val="left"/>
            </w:pPr>
          </w:p>
        </w:tc>
        <w:tc>
          <w:tcPr>
            <w:tcW w:type="dxa" w:w="2993"/>
            <w:vAlign w:val="center"/>
          </w:tcPr>
          <w:p>
            <w:pPr>
              <w:spacing w:before="20" w:after="20" w:lineRule="atLeast" w:line="280"/>
              <w:jc w:val="left"/>
            </w:pPr>
            <w:r>
              <w:rPr>
                <w:rFonts w:eastAsia="標楷體" w:ascii="Times New Roman" w:hAnsi="Times New Roman"/>
                <w:b w:val="0"/>
                <w:i w:val="0"/>
                <w:sz w:val="21"/>
              </w:rPr>
              <w:t>rate-capability</w:t>
            </w:r>
          </w:p>
        </w:tc>
      </w:tr>
      <w:tr>
        <w:tc>
          <w:tcPr>
            <w:tcW w:type="dxa" w:w="934"/>
            <w:vAlign w:val="center"/>
          </w:tcPr>
          <w:p>
            <w:pPr>
              <w:spacing w:before="20" w:after="20" w:lineRule="atLeast" w:line="280"/>
              <w:jc w:val="left"/>
            </w:pPr>
            <w:r>
              <w:rPr>
                <w:rFonts w:eastAsia="標楷體" w:ascii="Times New Roman" w:hAnsi="Times New Roman"/>
                <w:b w:val="0"/>
                <w:i w:val="0"/>
                <w:sz w:val="21"/>
              </w:rPr>
              <w:t>13–16</w:t>
            </w:r>
          </w:p>
        </w:tc>
        <w:tc>
          <w:tcPr>
            <w:tcW w:type="dxa" w:w="2991"/>
            <w:vAlign w:val="center"/>
          </w:tcPr>
          <w:p>
            <w:pPr>
              <w:spacing w:before="20" w:after="20" w:lineRule="atLeast" w:line="280"/>
              <w:jc w:val="left"/>
            </w:pPr>
            <w:r>
              <w:rPr>
                <w:rFonts w:eastAsia="標楷體" w:ascii="Times New Roman" w:hAnsi="Times New Roman"/>
                <w:b w:val="0"/>
                <w:i w:val="0"/>
                <w:sz w:val="21"/>
              </w:rPr>
              <w:t>充電→休息→放電 2.0C→休息</w:t>
            </w:r>
          </w:p>
        </w:tc>
        <w:tc>
          <w:tcPr>
            <w:tcW w:type="dxa" w:w="1682"/>
            <w:vAlign w:val="center"/>
          </w:tcPr>
          <w:p>
            <w:pPr>
              <w:spacing w:before="20" w:after="20" w:lineRule="atLeast" w:line="280"/>
              <w:jc w:val="left"/>
            </w:pPr>
          </w:p>
        </w:tc>
        <w:tc>
          <w:tcPr>
            <w:tcW w:type="dxa" w:w="2993"/>
            <w:vAlign w:val="center"/>
          </w:tcPr>
          <w:p>
            <w:pPr>
              <w:spacing w:before="20" w:after="20" w:lineRule="atLeast" w:line="280"/>
              <w:jc w:val="left"/>
            </w:pPr>
            <w:r>
              <w:rPr>
                <w:rFonts w:eastAsia="標楷體" w:ascii="Times New Roman" w:hAnsi="Times New Roman"/>
                <w:b w:val="0"/>
                <w:i w:val="0"/>
                <w:sz w:val="21"/>
              </w:rPr>
              <w:t>rate-capability</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V ≥ V_cv-100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V_cv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V ≥ V_cv-30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note=already_full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[2]。每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持久化 cycle_log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cycle_log.csv</w:t>
      </w:r>
      <w:r>
        <w:rPr>
          <w:rFonts w:eastAsia="標楷體" w:ascii="Times New Roman" w:hAnsi="Times New Roman"/>
          <w:b w:val="0"/>
          <w:i w:val="0"/>
          <w:sz w:val="24"/>
        </w:rPr>
        <w:t xml:space="preserve"> 追加一列，記錄 </w:t>
      </w:r>
      <w:r>
        <w:rPr>
          <w:rFonts w:eastAsia="標楷體" w:ascii="Consolas" w:hAnsi="Consolas"/>
          <w:b w:val="0"/>
          <w:i w:val="0"/>
          <w:sz w:val="21"/>
        </w:rPr>
        <w:t>cycle_id</w:t>
      </w:r>
      <w:r>
        <w:rPr>
          <w:rFonts w:eastAsia="標楷體" w:ascii="Times New Roman" w:hAnsi="Times New Roman"/>
          <w:b w:val="0"/>
          <w:i w:val="0"/>
          <w:sz w:val="24"/>
        </w:rPr>
        <w:t>、</w:t>
      </w:r>
      <w:r>
        <w:rPr>
          <w:rFonts w:eastAsia="標楷體" w:ascii="Consolas" w:hAnsi="Consolas"/>
          <w:b w:val="0"/>
          <w:i w:val="0"/>
          <w:sz w:val="21"/>
        </w:rPr>
        <w:t>round_id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q_retention (%) = 100 × (q_actual)/(q_rated)</w:t>
      </w:r>
    </w:p>
    <w:p>
      <w:pPr>
        <w:spacing w:lineRule="atLeast" w:line="360"/>
        <w:ind w:firstLine="480"/>
        <w:jc w:val="both"/>
      </w:pPr>
      <w:r>
        <w:rPr>
          <w:rFonts w:eastAsia="標楷體" w:ascii="Consolas" w:hAnsi="Consolas"/>
          <w:b w:val="0"/>
          <w:i w:val="0"/>
          <w:sz w:val="21"/>
        </w:rPr>
        <w:t>cycle_id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cycle_id</w:t>
      </w:r>
      <w:r>
        <w:rPr>
          <w:rFonts w:eastAsia="標楷體" w:ascii="Times New Roman" w:hAnsi="Times New Roman"/>
          <w:b w:val="0"/>
          <w:i w:val="0"/>
          <w:sz w:val="24"/>
        </w:rPr>
        <w:t xml:space="preserve">（一對充放電共用一個 cycle_id）；跨次執行時程式自動讀回既有 CSV，續接 </w:t>
      </w:r>
      <w:r>
        <w:rPr>
          <w:rFonts w:eastAsia="標楷體" w:ascii="Consolas" w:hAnsi="Consolas"/>
          <w:b w:val="0"/>
          <w:i w:val="0"/>
          <w:sz w:val="21"/>
        </w:rPr>
        <w:t>round_id</w:t>
      </w:r>
      <w:r>
        <w:rPr>
          <w:rFonts w:eastAsia="標楷體" w:ascii="Times New Roman" w:hAnsi="Times New Roman"/>
          <w:b w:val="0"/>
          <w:i w:val="0"/>
          <w:sz w:val="24"/>
        </w:rPr>
        <w:t>／</w:t>
      </w:r>
      <w:r>
        <w:rPr>
          <w:rFonts w:eastAsia="標楷體" w:ascii="Consolas" w:hAnsi="Consolas"/>
          <w:b w:val="0"/>
          <w:i w:val="0"/>
          <w:sz w:val="21"/>
        </w:rPr>
        <w:t>cycle_id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before="240" w:after="120" w:lineRule="atLeast" w:line="360"/>
        <w:jc w:val="left"/>
      </w:pPr>
      <w:r>
        <w:rPr>
          <w:rFonts w:eastAsia="標楷體" w:ascii="Times New Roman" w:hAnsi="Times New Roman"/>
          <w:b/>
          <w:i w:val="0"/>
          <w:sz w:val="28"/>
        </w:rPr>
        <w:t>3.7 GITT pseudo-OCV 表建立</w:t>
      </w:r>
    </w:p>
    <w:p>
      <w:pPr>
        <w:spacing w:lineRule="atLeast" w:line="480"/>
        <w:ind w:firstLine="480"/>
        <w:jc w:val="both"/>
      </w:pPr>
      <w:r>
        <w:rPr>
          <w:rFonts w:eastAsia="標楷體" w:ascii="Times New Roman" w:hAnsi="Times New Roman"/>
          <w:b w:val="0"/>
          <w:i w:val="0"/>
          <w:sz w:val="24"/>
        </w:rPr>
        <w:t xml:space="preserve">第四章的 EKF 觀測方程需要一條 OCV–SOC 對應曲線，否則 EKF 無法實作。如第二章所述，OCV 查表作為獨立即時方法與本研究的 rate-capability 協定不相容，故折衷以 GITT（恆電流間歇滴定法，Galvanostatic Intermittent Titration Technique）標準協定一次性建立 pseudo-OCV 表，專供 EKF 使用 </w:t>
      </w:r>
      <w:r>
        <w:rPr>
          <w:rFonts w:eastAsia="標楷體" w:ascii="Times New Roman" w:hAnsi="Times New Roman"/>
          <w:b/>
          <w:i w:val="0"/>
          <w:color w:val="C00000"/>
          <w:sz w:val="24"/>
        </w:rPr>
        <w:t>[待補引用]</w:t>
      </w:r>
      <w:r>
        <w:rPr>
          <w:rFonts w:eastAsia="標楷體" w:ascii="Times New Roman" w:hAnsi="Times New Roman"/>
          <w:b w:val="0"/>
          <w:i w:val="0"/>
          <w:sz w:val="24"/>
        </w:rPr>
        <w:t xml:space="preserve">。此流程由 </w:t>
      </w:r>
      <w:r>
        <w:rPr>
          <w:rFonts w:eastAsia="標楷體" w:ascii="Consolas" w:hAnsi="Consolas"/>
          <w:b w:val="0"/>
          <w:i w:val="0"/>
          <w:sz w:val="21"/>
        </w:rPr>
        <w:t>gitt_ocv_runner.py</w:t>
      </w:r>
      <w:r>
        <w:rPr>
          <w:rFonts w:eastAsia="標楷體" w:ascii="Times New Roman" w:hAnsi="Times New Roman"/>
          <w:b w:val="0"/>
          <w:i w:val="0"/>
          <w:sz w:val="24"/>
        </w:rPr>
        <w:t xml:space="preserve"> 自動化。</w:t>
      </w:r>
    </w:p>
    <w:p>
      <w:pPr>
        <w:spacing w:lineRule="atLeast" w:line="480"/>
        <w:ind w:firstLine="480"/>
        <w:jc w:val="both"/>
      </w:pPr>
      <w:r>
        <w:rPr>
          <w:rFonts w:eastAsia="標楷體" w:ascii="Times New Roman" w:hAnsi="Times New Roman"/>
          <w:b/>
          <w:i w:val="0"/>
          <w:sz w:val="24"/>
        </w:rPr>
        <w:t>協定參數</w:t>
      </w:r>
      <w:r>
        <w:rPr>
          <w:rFonts w:eastAsia="標楷體" w:ascii="Times New Roman" w:hAnsi="Times New Roman"/>
          <w:b w:val="0"/>
          <w:i w:val="0"/>
          <w:sz w:val="24"/>
        </w:rPr>
        <w:t xml:space="preserve">：SOC 步長 5%（1% 過密、CP 值差）、每步靜置 60 min（30 min 殘餘漂移仍約 2～5 mV）、CC 倍率 0.5C，雙向進行——放電向 100%→約 0%、充電向約 0%→100%，各 20 步。流程自動先 CC-CV 充飽（PHASE 1，約 2.5 h），再跑放電 GITT（PHASE 2，約 22 h），最後跑充電 GITT（PHASE 3，約 22 h），結束時電池恢復至滿電，可安全串接後續 round。總時程約 </w:t>
      </w:r>
      <w:r>
        <w:rPr>
          <w:rFonts w:eastAsia="標楷體" w:ascii="Times New Roman" w:hAnsi="Times New Roman"/>
          <w:b/>
          <w:i w:val="0"/>
          <w:sz w:val="24"/>
        </w:rPr>
        <w:t>46 h</w:t>
      </w:r>
      <w:r>
        <w:rPr>
          <w:rFonts w:eastAsia="標楷體" w:ascii="Times New Roman" w:hAnsi="Times New Roman"/>
          <w:b w:val="0"/>
          <w:i w:val="0"/>
          <w:sz w:val="24"/>
        </w:rPr>
        <w:t>，一次性建表。</w:t>
      </w:r>
    </w:p>
    <w:p>
      <w:pPr>
        <w:spacing w:lineRule="atLeast" w:line="480"/>
        <w:ind w:firstLine="480"/>
        <w:jc w:val="both"/>
      </w:pPr>
      <w:r>
        <w:rPr>
          <w:rFonts w:eastAsia="標楷體" w:ascii="Times New Roman" w:hAnsi="Times New Roman"/>
          <w:b/>
          <w:i w:val="0"/>
          <w:sz w:val="24"/>
        </w:rPr>
        <w:t>平衡電壓與 pseudo-OCV</w:t>
      </w:r>
      <w:r>
        <w:rPr>
          <w:rFonts w:eastAsia="標楷體" w:ascii="Times New Roman" w:hAnsi="Times New Roman"/>
          <w:b w:val="0"/>
          <w:i w:val="0"/>
          <w:sz w:val="24"/>
        </w:rPr>
        <w:t xml:space="preserve">：每步 CC 移動 5% SOC 後靜置 60 min，取靜置末段最後 30 s 電壓平均為該 SOC bin 的平衡電壓 </w:t>
      </w:r>
      <w:r>
        <w:rPr>
          <w:rFonts w:eastAsia="標楷體" w:ascii="Times New Roman" w:hAnsi="Times New Roman"/>
          <w:b w:val="0"/>
          <w:i w:val="0"/>
          <w:sz w:val="24"/>
        </w:rPr>
        <w:t>V_eq</w:t>
      </w:r>
      <w:r>
        <w:rPr>
          <w:rFonts w:eastAsia="標楷體" w:ascii="Times New Roman" w:hAnsi="Times New Roman"/>
          <w:b w:val="0"/>
          <w:i w:val="0"/>
          <w:sz w:val="24"/>
        </w:rPr>
        <w:t xml:space="preserve">；並計算靜置末 5 min 的 </w:t>
      </w:r>
      <w:r>
        <w:rPr>
          <w:rFonts w:eastAsia="標楷體" w:ascii="Times New Roman" w:hAnsi="Times New Roman"/>
          <w:b w:val="0"/>
          <w:i w:val="0"/>
          <w:sz w:val="24"/>
        </w:rPr>
        <w:t>dV/dt</w:t>
      </w:r>
      <w:r>
        <w:rPr>
          <w:rFonts w:eastAsia="標楷體" w:ascii="Times New Roman" w:hAnsi="Times New Roman"/>
          <w:b w:val="0"/>
          <w:i w:val="0"/>
          <w:sz w:val="24"/>
        </w:rPr>
        <w:t xml:space="preserve">（mV/min）以監看是否充分鬆弛。為消除充放電遲滯迴路，pseudo-OCV 取同一 SOC bin 上放電向與充電向 </w:t>
      </w:r>
      <w:r>
        <w:rPr>
          <w:rFonts w:eastAsia="標楷體" w:ascii="Times New Roman" w:hAnsi="Times New Roman"/>
          <w:b w:val="0"/>
          <w:i w:val="0"/>
          <w:sz w:val="24"/>
        </w:rPr>
        <w:t>V_eq</w:t>
      </w:r>
      <w:r>
        <w:rPr>
          <w:rFonts w:eastAsia="標楷體" w:ascii="Times New Roman" w:hAnsi="Times New Roman"/>
          <w:b w:val="0"/>
          <w:i w:val="0"/>
          <w:sz w:val="24"/>
        </w:rPr>
        <w:t xml:space="preserve"> 之平均：</w:t>
      </w:r>
    </w:p>
    <w:p>
      <w:pPr>
        <w:spacing w:before="120" w:after="120" w:lineRule="atLeast" w:line="480"/>
        <w:jc w:val="center"/>
      </w:pPr>
      <w:r>
        <w:rPr>
          <w:rFonts w:eastAsia="標楷體" w:ascii="Cambria Math" w:hAnsi="Cambria Math"/>
          <w:sz w:val="24"/>
        </w:rPr>
        <w:t>V_pseudo(SOC) = (V_eq^ disch(SOC) + V_eq^ chg(SOC))/(2)</w:t>
      </w:r>
    </w:p>
    <w:p>
      <w:pPr>
        <w:spacing w:lineRule="atLeast" w:line="480"/>
        <w:ind w:firstLine="480"/>
        <w:jc w:val="both"/>
      </w:pPr>
      <w:r>
        <w:rPr>
          <w:rFonts w:eastAsia="標楷體" w:ascii="Times New Roman" w:hAnsi="Times New Roman"/>
          <w:b w:val="0"/>
          <w:i w:val="0"/>
          <w:sz w:val="24"/>
        </w:rPr>
        <w:t xml:space="preserve">充電 GITT 為使端電壓對建表有意義，刻意維持在嚴格 CC（每步在 </w:t>
      </w:r>
      <w:r>
        <w:rPr>
          <w:rFonts w:eastAsia="標楷體" w:ascii="Times New Roman" w:hAnsi="Times New Roman"/>
          <w:b w:val="0"/>
          <w:i w:val="0"/>
          <w:sz w:val="24"/>
        </w:rPr>
        <w:t>V ≥ V_cv-5 mV</w:t>
      </w:r>
      <w:r>
        <w:rPr>
          <w:rFonts w:eastAsia="標楷體" w:ascii="Times New Roman" w:hAnsi="Times New Roman"/>
          <w:b w:val="0"/>
          <w:i w:val="0"/>
          <w:sz w:val="24"/>
        </w:rPr>
        <w:t xml:space="preserve"> 即停，避免 CV taper 使載流端電壓失去資訊）。</w:t>
      </w:r>
    </w:p>
    <w:p>
      <w:pPr>
        <w:spacing w:lineRule="atLeast" w:line="480"/>
        <w:ind w:firstLine="480"/>
        <w:jc w:val="both"/>
      </w:pPr>
      <w:r>
        <w:rPr>
          <w:rFonts w:eastAsia="標楷體" w:ascii="Times New Roman" w:hAnsi="Times New Roman"/>
          <w:b/>
          <w:i w:val="0"/>
          <w:sz w:val="24"/>
        </w:rPr>
        <w:t>輸出產物</w:t>
      </w:r>
      <w:r>
        <w:rPr>
          <w:rFonts w:eastAsia="標楷體" w:ascii="Times New Roman" w:hAnsi="Times New Roman"/>
          <w:b w:val="0"/>
          <w:i w:val="0"/>
          <w:sz w:val="24"/>
        </w:rPr>
        <w:t>：三個共用時間戳的 CSV——</w:t>
      </w:r>
      <w:r>
        <w:rPr>
          <w:rFonts w:eastAsia="標楷體" w:ascii="Consolas" w:hAnsi="Consolas"/>
          <w:b w:val="0"/>
          <w:i w:val="0"/>
          <w:sz w:val="21"/>
        </w:rPr>
        <w:t>gitt_trace_*.csv</w:t>
      </w:r>
      <w:r>
        <w:rPr>
          <w:rFonts w:eastAsia="標楷體" w:ascii="Times New Roman" w:hAnsi="Times New Roman"/>
          <w:b w:val="0"/>
          <w:i w:val="0"/>
          <w:sz w:val="24"/>
        </w:rPr>
        <w:t>（完整取樣級時序）、</w:t>
      </w:r>
      <w:r>
        <w:rPr>
          <w:rFonts w:eastAsia="標楷體" w:ascii="Consolas" w:hAnsi="Consolas"/>
          <w:b w:val="0"/>
          <w:i w:val="0"/>
          <w:sz w:val="21"/>
        </w:rPr>
        <w:t>gitt_summary_*.csv</w:t>
      </w:r>
      <w:r>
        <w:rPr>
          <w:rFonts w:eastAsia="標楷體" w:ascii="Times New Roman" w:hAnsi="Times New Roman"/>
          <w:b w:val="0"/>
          <w:i w:val="0"/>
          <w:sz w:val="24"/>
        </w:rPr>
        <w:t xml:space="preserve">（每步一列，含靜置 5/15/30/45/60 min 的電壓與 </w:t>
      </w:r>
      <w:r>
        <w:rPr>
          <w:rFonts w:eastAsia="標楷體" w:ascii="Times New Roman" w:hAnsi="Times New Roman"/>
          <w:b w:val="0"/>
          <w:i w:val="0"/>
          <w:sz w:val="24"/>
        </w:rPr>
        <w:t>V_eq</w:t>
      </w:r>
      <w:r>
        <w:rPr>
          <w:rFonts w:eastAsia="標楷體" w:ascii="Times New Roman" w:hAnsi="Times New Roman"/>
          <w:b w:val="0"/>
          <w:i w:val="0"/>
          <w:sz w:val="24"/>
        </w:rPr>
        <w:t>、</w:t>
      </w:r>
      <w:r>
        <w:rPr>
          <w:rFonts w:eastAsia="標楷體" w:ascii="Times New Roman" w:hAnsi="Times New Roman"/>
          <w:b w:val="0"/>
          <w:i w:val="0"/>
          <w:sz w:val="24"/>
        </w:rPr>
        <w:t>dV/dt</w:t>
      </w:r>
      <w:r>
        <w:rPr>
          <w:rFonts w:eastAsia="標楷體" w:ascii="Times New Roman" w:hAnsi="Times New Roman"/>
          <w:b w:val="0"/>
          <w:i w:val="0"/>
          <w:sz w:val="24"/>
        </w:rPr>
        <w:t>）、</w:t>
      </w:r>
      <w:r>
        <w:rPr>
          <w:rFonts w:eastAsia="標楷體" w:ascii="Consolas" w:hAnsi="Consolas"/>
          <w:b w:val="0"/>
          <w:i w:val="0"/>
          <w:sz w:val="21"/>
        </w:rPr>
        <w:t>ocv_table_*.csv</w:t>
      </w:r>
      <w:r>
        <w:rPr>
          <w:rFonts w:eastAsia="標楷體" w:ascii="Times New Roman" w:hAnsi="Times New Roman"/>
          <w:b w:val="0"/>
          <w:i w:val="0"/>
          <w:sz w:val="24"/>
        </w:rPr>
        <w:t xml:space="preserve">（最終 SOC × </w:t>
      </w:r>
      <w:r>
        <w:rPr>
          <w:rFonts w:eastAsia="標楷體" w:ascii="Times New Roman" w:hAnsi="Times New Roman"/>
          <w:b w:val="0"/>
          <w:i w:val="0"/>
          <w:sz w:val="24"/>
        </w:rPr>
        <w:t>V_disch</w:t>
      </w:r>
      <w:r>
        <w:rPr>
          <w:rFonts w:eastAsia="標楷體" w:ascii="Times New Roman" w:hAnsi="Times New Roman"/>
          <w:b w:val="0"/>
          <w:i w:val="0"/>
          <w:sz w:val="24"/>
        </w:rPr>
        <w:t xml:space="preserve"> × </w:t>
      </w:r>
      <w:r>
        <w:rPr>
          <w:rFonts w:eastAsia="標楷體" w:ascii="Times New Roman" w:hAnsi="Times New Roman"/>
          <w:b w:val="0"/>
          <w:i w:val="0"/>
          <w:sz w:val="24"/>
        </w:rPr>
        <w:t>V_chg</w:t>
      </w:r>
      <w:r>
        <w:rPr>
          <w:rFonts w:eastAsia="標楷體" w:ascii="Times New Roman" w:hAnsi="Times New Roman"/>
          <w:b w:val="0"/>
          <w:i w:val="0"/>
          <w:sz w:val="24"/>
        </w:rPr>
        <w:t xml:space="preserve"> × </w:t>
      </w:r>
      <w:r>
        <w:rPr>
          <w:rFonts w:eastAsia="標楷體" w:ascii="Times New Roman" w:hAnsi="Times New Roman"/>
          <w:b w:val="0"/>
          <w:i w:val="0"/>
          <w:sz w:val="24"/>
        </w:rPr>
        <w:t>V_pseudo</w:t>
      </w:r>
      <w:r>
        <w:rPr>
          <w:rFonts w:eastAsia="標楷體" w:ascii="Times New Roman" w:hAnsi="Times New Roman"/>
          <w:b w:val="0"/>
          <w:i w:val="0"/>
          <w:sz w:val="24"/>
        </w:rPr>
        <w:t>）。最後一張即第四章 EKF 觀測方程所用的 OCV–SOC 對應表。</w:t>
      </w:r>
    </w:p>
    <w:p>
      <w:pPr>
        <w:spacing w:lineRule="atLeast" w:line="480"/>
        <w:ind w:firstLine="480"/>
        <w:jc w:val="both"/>
      </w:pPr>
      <w:r>
        <w:rPr>
          <w:rFonts w:eastAsia="標楷體" w:ascii="Times New Roman" w:hAnsi="Times New Roman"/>
          <w:b w:val="0"/>
          <w:i w:val="0"/>
          <w:sz w:val="24"/>
        </w:rPr>
        <w:t>至此，本章已交代第四章三種 SOC 估測方法所需的全部基礎設施：統一的韌體載體（3.2）、可信的電流量測（3.3）、可靠的儀器自動化（3.4）、安全的實驗環境（3.5）、乾淨且可累積的測試數據（3.6）與 EKF 所需的 OCV 表（3.7）。下一章將在此平台上，依「原理 → 演算法 → STM32 實作 → 實驗結果」的一致結構，分別實作並公平比較庫倫計數法、擴展卡爾曼濾波器與動態阻抗法。</w:t>
      </w:r>
    </w:p>
    <w:p>
      <w:pPr>
        <w:pStyle w:val="1"/>
      </w:pPr>
      <w:r>
        <w:rPr>
          <w:rFonts w:ascii="Times New Roman" w:hAnsi="Times New Roman" w:eastAsia="標楷體"/>
          <w:b/>
          <w:sz w:val="32"/>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 xml:space="preserve">本章三種方法皆掛載於第三章 3.2 節所述之 STM32 韌體骨架，替換的僅是 </w:t>
      </w:r>
      <w:r>
        <w:rPr>
          <w:rFonts w:eastAsia="標楷體" w:ascii="Consolas" w:hAnsi="Consolas"/>
          <w:b w:val="0"/>
          <w:i w:val="0"/>
          <w:sz w:val="21"/>
        </w:rPr>
        <w:t>soc_soh_calc</w:t>
      </w:r>
      <w:r>
        <w:rPr>
          <w:rFonts w:eastAsia="標楷體" w:ascii="Times New Roman" w:hAnsi="Times New Roman"/>
          <w:b w:val="0"/>
          <w:i w:val="0"/>
          <w:sz w:val="24"/>
        </w:rPr>
        <w:t xml:space="preserve"> 模組內的估測核心，其餘量測路徑（INA226 校正後電流／電壓）、時間基準（100 µs 系統節拍）、輸入輸出（heartbeat 串流）完全一致，以確保比較之公平性。為使三法在同一座標上比較，先統一界定下列共同量與符號。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：MCU 端 SOC 估測以 1 Hz 更新（與 heartbeat 同步，</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 14 點 LUT 校正後之電流 </w:t>
      </w:r>
      <w:r>
        <w:rPr>
          <w:rFonts w:eastAsia="標楷體" w:ascii="Times New Roman" w:hAnsi="Times New Roman"/>
          <w:b w:val="0"/>
          <w:i w:val="0"/>
          <w:sz w:val="24"/>
        </w:rPr>
        <w:t>I_k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V_t,k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q_full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SOC_truth(t) = 1 - (∫_t_0^t I(τ) dτ)/(q_full)</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C_rated = 2000</w:t>
      </w:r>
      <w:r>
        <w:rPr>
          <w:rFonts w:eastAsia="標楷體" w:ascii="Times New Roman" w:hAnsi="Times New Roman"/>
          <w:b w:val="0"/>
          <w:i w:val="0"/>
          <w:sz w:val="24"/>
        </w:rPr>
        <w:t xml:space="preserve"> mAh，</w:t>
      </w:r>
      <w:r>
        <w:rPr>
          <w:rFonts w:eastAsia="標楷體" w:ascii="Times New Roman" w:hAnsi="Times New Roman"/>
          <w:b w:val="0"/>
          <w:i w:val="0"/>
          <w:sz w:val="24"/>
        </w:rPr>
        <w:t>V_cv = 4.2</w:t>
      </w:r>
      <w:r>
        <w:rPr>
          <w:rFonts w:eastAsia="標楷體" w:ascii="Times New Roman" w:hAnsi="Times New Roman"/>
          <w:b w:val="0"/>
          <w:i w:val="0"/>
          <w:sz w:val="24"/>
        </w:rPr>
        <w:t xml:space="preserve"> V，</w:t>
      </w:r>
      <w:r>
        <w:rPr>
          <w:rFonts w:eastAsia="標楷體" w:ascii="Times New Roman" w:hAnsi="Times New Roman"/>
          <w:b w:val="0"/>
          <w:i w:val="0"/>
          <w:sz w:val="24"/>
        </w:rPr>
        <w:t>V_cut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SOC(t) = SOC(t_0) - (1)/(C_rated) ∫_t_0^t η ·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η</w:t>
      </w:r>
      <w:r>
        <w:rPr>
          <w:rFonts w:eastAsia="標楷體" w:ascii="Times New Roman" w:hAnsi="Times New Roman"/>
          <w:b w:val="0"/>
          <w:i w:val="0"/>
          <w:sz w:val="24"/>
        </w:rPr>
        <w:t xml:space="preserve"> 為庫倫效率。本研究於充電方向取 </w:t>
      </w:r>
      <w:r>
        <w:rPr>
          <w:rFonts w:eastAsia="標楷體" w:ascii="Times New Roman" w:hAnsi="Times New Roman"/>
          <w:b w:val="0"/>
          <w:i w:val="0"/>
          <w:sz w:val="24"/>
        </w:rPr>
        <w:t>η_chg</w:t>
      </w:r>
      <w:r>
        <w:rPr>
          <w:rFonts w:eastAsia="標楷體" w:ascii="Times New Roman" w:hAnsi="Times New Roman"/>
          <w:b w:val="0"/>
          <w:i w:val="0"/>
          <w:sz w:val="24"/>
        </w:rPr>
        <w:t xml:space="preserve">、放電方向取 </w:t>
      </w:r>
      <w:r>
        <w:rPr>
          <w:rFonts w:eastAsia="標楷體" w:ascii="Times New Roman" w:hAnsi="Times New Roman"/>
          <w:b w:val="0"/>
          <w:i w:val="0"/>
          <w:sz w:val="24"/>
        </w:rPr>
        <w:t>η_dis ≈ 1</w:t>
      </w:r>
      <w:r>
        <w:rPr>
          <w:rFonts w:eastAsia="標楷體" w:ascii="Times New Roman" w:hAnsi="Times New Roman"/>
          <w:b w:val="0"/>
          <w:i w:val="0"/>
          <w:sz w:val="24"/>
        </w:rPr>
        <w:t xml:space="preserve">；NMC 體系庫倫效率接近 1，室溫下單一 cycle 內以 </w:t>
      </w:r>
      <w:r>
        <w:rPr>
          <w:rFonts w:eastAsia="標楷體" w:ascii="Times New Roman" w:hAnsi="Times New Roman"/>
          <w:b w:val="0"/>
          <w:i w:val="0"/>
          <w:sz w:val="24"/>
        </w:rPr>
        <w:t>η = 1</w:t>
      </w:r>
      <w:r>
        <w:rPr>
          <w:rFonts w:eastAsia="標楷體" w:ascii="Times New Roman" w:hAnsi="Times New Roman"/>
          <w:b w:val="0"/>
          <w:i w:val="0"/>
          <w:sz w:val="24"/>
        </w:rPr>
        <w:t xml:space="preserve"> 近似所引入之誤差遠小於電流量測誤差，故實作上不另引入 </w:t>
      </w:r>
      <w:r>
        <w:rPr>
          <w:rFonts w:eastAsia="標楷體" w:ascii="Times New Roman" w:hAnsi="Times New Roman"/>
          <w:b w:val="0"/>
          <w:i w:val="0"/>
          <w:sz w:val="24"/>
        </w:rPr>
        <w:t>η</w:t>
      </w:r>
      <w:r>
        <w:rPr>
          <w:rFonts w:eastAsia="標楷體" w:ascii="Times New Roman" w:hAnsi="Times New Roman"/>
          <w:b w:val="0"/>
          <w:i w:val="0"/>
          <w:sz w:val="24"/>
        </w:rPr>
        <w:t xml:space="preserve"> 修正（其影響歸入長期漂移討論，4.1.4）。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w:t>
      </w:r>
    </w:p>
    <w:p>
      <w:pPr>
        <w:spacing w:lineRule="atLeast" w:line="260" w:before="120" w:after="0"/>
        <w:ind w:left="120"/>
        <w:jc w:val="left"/>
        <w:shd w:val="clear" w:color="auto" w:fill="F2F2F2"/>
      </w:pPr>
      <w:r>
        <w:rPr>
          <w:rFonts w:eastAsia="標楷體" w:ascii="Consolas" w:hAnsi="Consolas"/>
          <w:sz w:val="19"/>
        </w:rPr>
        <w:t>每 Δt（= 1 s）執行：</w:t>
      </w:r>
    </w:p>
    <w:p>
      <w:pPr>
        <w:spacing w:lineRule="atLeast" w:line="260" w:before="0" w:after="0"/>
        <w:ind w:left="120"/>
        <w:jc w:val="left"/>
        <w:shd w:val="clear" w:color="auto" w:fill="F2F2F2"/>
      </w:pPr>
      <w:r>
        <w:rPr>
          <w:rFonts w:eastAsia="標楷體" w:ascii="Consolas" w:hAnsi="Consolas"/>
          <w:sz w:val="19"/>
        </w:rPr>
        <w:t xml:space="preserve">    讀取校正後電流 I_k        // INA226 LUT 後處理，放電為正</w:t>
      </w:r>
    </w:p>
    <w:p>
      <w:pPr>
        <w:spacing w:lineRule="atLeast" w:line="260" w:before="0" w:after="0"/>
        <w:ind w:left="120"/>
        <w:jc w:val="left"/>
        <w:shd w:val="clear" w:color="auto" w:fill="F2F2F2"/>
      </w:pPr>
      <w:r>
        <w:rPr>
          <w:rFonts w:eastAsia="標楷體" w:ascii="Consolas" w:hAnsi="Consolas"/>
          <w:sz w:val="19"/>
        </w:rPr>
        <w:t xml:space="preserve">    Δq      = I_k * Δt        // 本週期流出電荷（A·s）</w:t>
      </w:r>
    </w:p>
    <w:p>
      <w:pPr>
        <w:spacing w:lineRule="atLeast" w:line="260" w:before="0" w:after="0"/>
        <w:ind w:left="120"/>
        <w:jc w:val="left"/>
        <w:shd w:val="clear" w:color="auto" w:fill="F2F2F2"/>
      </w:pPr>
      <w:r>
        <w:rPr>
          <w:rFonts w:eastAsia="標楷體" w:ascii="Consolas" w:hAnsi="Consolas"/>
          <w:sz w:val="19"/>
        </w:rPr>
        <w:t xml:space="preserve">    q_drawn = q_drawn + Δq    // 累計流出電荷</w:t>
      </w:r>
    </w:p>
    <w:p>
      <w:pPr>
        <w:spacing w:lineRule="atLeast" w:line="260" w:before="0" w:after="120"/>
        <w:ind w:left="120"/>
        <w:jc w:val="left"/>
        <w:shd w:val="clear" w:color="auto" w:fill="F2F2F2"/>
      </w:pPr>
      <w:r>
        <w:rPr>
          <w:rFonts w:eastAsia="標楷體" w:ascii="Consolas" w:hAnsi="Consolas"/>
          <w:sz w:val="19"/>
        </w:rPr>
        <w:t xml:space="preserve">    SOC_k   = 1 - q_drawn / q_rated_As   // 夾限至 [0, 1]</w:t>
      </w:r>
    </w:p>
    <w:p>
      <w:pPr>
        <w:spacing w:lineRule="atLeast" w:line="480"/>
        <w:ind w:firstLine="480"/>
        <w:jc w:val="both"/>
      </w:pPr>
      <w:r>
        <w:rPr>
          <w:rFonts w:eastAsia="標楷體" w:ascii="Times New Roman" w:hAnsi="Times New Roman"/>
          <w:b w:val="0"/>
          <w:i w:val="0"/>
          <w:sz w:val="24"/>
        </w:rPr>
        <w:t xml:space="preserve">PC 端參考實作見 </w:t>
      </w:r>
      <w:r>
        <w:rPr>
          <w:rFonts w:eastAsia="標楷體" w:ascii="Consolas" w:hAnsi="Consolas"/>
          <w:b w:val="0"/>
          <w:i w:val="0"/>
          <w:sz w:val="21"/>
        </w:rPr>
        <w:t>TEST/core/coulomb.py</w:t>
      </w:r>
      <w:r>
        <w:rPr>
          <w:rFonts w:eastAsia="標楷體" w:ascii="Times New Roman" w:hAnsi="Times New Roman"/>
          <w:b w:val="0"/>
          <w:i w:val="0"/>
          <w:sz w:val="24"/>
        </w:rPr>
        <w:t xml:space="preserve">：以 </w:t>
      </w:r>
      <w:r>
        <w:rPr>
          <w:rFonts w:eastAsia="標楷體" w:ascii="Consolas" w:hAnsi="Consolas"/>
          <w:b w:val="0"/>
          <w:i w:val="0"/>
          <w:sz w:val="21"/>
        </w:rPr>
        <w:t>CoulombCounter</w:t>
      </w:r>
      <w:r>
        <w:rPr>
          <w:rFonts w:eastAsia="標楷體" w:ascii="Times New Roman" w:hAnsi="Times New Roman"/>
          <w:b w:val="0"/>
          <w:i w:val="0"/>
          <w:sz w:val="24"/>
        </w:rPr>
        <w:t xml:space="preserve"> 類別維護「已流出電荷」</w:t>
      </w:r>
      <w:r>
        <w:rPr>
          <w:rFonts w:eastAsia="標楷體" w:ascii="Consolas" w:hAnsi="Consolas"/>
          <w:b w:val="0"/>
          <w:i w:val="0"/>
          <w:sz w:val="21"/>
        </w:rPr>
        <w:t>_charge_drawn_mAs</w:t>
      </w:r>
      <w:r>
        <w:rPr>
          <w:rFonts w:eastAsia="標楷體" w:ascii="Times New Roman" w:hAnsi="Times New Roman"/>
          <w:b w:val="0"/>
          <w:i w:val="0"/>
          <w:sz w:val="24"/>
        </w:rPr>
        <w:t>（單位 A·s 換算為 mA·s），</w:t>
      </w:r>
      <w:r>
        <w:rPr>
          <w:rFonts w:eastAsia="標楷體" w:ascii="Consolas" w:hAnsi="Consolas"/>
          <w:b w:val="0"/>
          <w:i w:val="0"/>
          <w:sz w:val="21"/>
        </w:rPr>
        <w:t>update(I, dt)</w:t>
      </w:r>
      <w:r>
        <w:rPr>
          <w:rFonts w:eastAsia="標楷體" w:ascii="Times New Roman" w:hAnsi="Times New Roman"/>
          <w:b w:val="0"/>
          <w:i w:val="0"/>
          <w:sz w:val="24"/>
        </w:rPr>
        <w:t xml:space="preserve"> 推進積分、</w:t>
      </w:r>
      <w:r>
        <w:rPr>
          <w:rFonts w:eastAsia="標楷體" w:ascii="Consolas" w:hAnsi="Consolas"/>
          <w:b w:val="0"/>
          <w:i w:val="0"/>
          <w:sz w:val="21"/>
        </w:rPr>
        <w:t>soc</w:t>
      </w:r>
      <w:r>
        <w:rPr>
          <w:rFonts w:eastAsia="標楷體" w:ascii="Times New Roman" w:hAnsi="Times New Roman"/>
          <w:b w:val="0"/>
          <w:i w:val="0"/>
          <w:sz w:val="24"/>
        </w:rPr>
        <w:t xml:space="preserve"> 性質回傳夾限後 SOC、</w:t>
      </w:r>
      <w:r>
        <w:rPr>
          <w:rFonts w:eastAsia="標楷體" w:ascii="Consolas" w:hAnsi="Consolas"/>
          <w:b w:val="0"/>
          <w:i w:val="0"/>
          <w:sz w:val="21"/>
        </w:rPr>
        <w:t>ah_used</w:t>
      </w:r>
      <w:r>
        <w:rPr>
          <w:rFonts w:eastAsia="標楷體" w:ascii="Times New Roman" w:hAnsi="Times New Roman"/>
          <w:b w:val="0"/>
          <w:i w:val="0"/>
          <w:sz w:val="24"/>
        </w:rPr>
        <w:t xml:space="preserve"> 回傳累計安時。其符號約定（放電正、充電負）與本章一致。</w:t>
      </w:r>
    </w:p>
    <w:p>
      <w:pPr>
        <w:spacing w:before="160" w:after="80" w:lineRule="atLeast" w:line="360"/>
        <w:jc w:val="left"/>
      </w:pPr>
      <w:r>
        <w:rPr>
          <w:rFonts w:eastAsia="標楷體" w:ascii="Times New Roman" w:hAnsi="Times New Roman"/>
          <w:b/>
          <w:i w:val="0"/>
          <w:sz w:val="26"/>
        </w:rPr>
        <w:t>4.1.3 STM32 實作</w:t>
      </w:r>
    </w:p>
    <w:p>
      <w:pPr>
        <w:spacing w:lineRule="atLeast" w:line="480"/>
        <w:ind w:firstLine="480"/>
        <w:jc w:val="both"/>
      </w:pPr>
      <w:r>
        <w:rPr>
          <w:rFonts w:eastAsia="標楷體" w:ascii="Times New Roman" w:hAnsi="Times New Roman"/>
          <w:b w:val="0"/>
          <w:i w:val="0"/>
          <w:sz w:val="24"/>
        </w:rPr>
        <w:t xml:space="preserve">庫倫計數於 MCU 上的實作極輕量，掛載於 </w:t>
      </w:r>
      <w:r>
        <w:rPr>
          <w:rFonts w:eastAsia="標楷體" w:ascii="Consolas" w:hAnsi="Consolas"/>
          <w:b w:val="0"/>
          <w:i w:val="0"/>
          <w:sz w:val="21"/>
        </w:rPr>
        <w:t>soc_soh_calc</w:t>
      </w:r>
      <w:r>
        <w:rPr>
          <w:rFonts w:eastAsia="標楷體" w:ascii="Times New Roman" w:hAnsi="Times New Roman"/>
          <w:b w:val="0"/>
          <w:i w:val="0"/>
          <w:sz w:val="24"/>
        </w:rPr>
        <w:t xml:space="preserve"> 模組，核心為一個 64 位元定點累加器與一次乘加。為避免 32 位元浮點長時間累加之尾數丟失（1 Hz、數小時的積分達數萬筆），累加器採整數化的 µA·s 單位以 </w:t>
      </w:r>
      <w:r>
        <w:rPr>
          <w:rFonts w:eastAsia="標楷體" w:ascii="Consolas" w:hAnsi="Consolas"/>
          <w:b w:val="0"/>
          <w:i w:val="0"/>
          <w:sz w:val="21"/>
        </w:rPr>
        <w:t>int64_t</w:t>
      </w:r>
      <w:r>
        <w:rPr>
          <w:rFonts w:eastAsia="標楷體" w:ascii="Times New Roman" w:hAnsi="Times New Roman"/>
          <w:b w:val="0"/>
          <w:i w:val="0"/>
          <w:sz w:val="24"/>
        </w:rPr>
        <w:t xml:space="preserve"> 維護，僅在輸出 SOC 時做一次除法轉換。核心邏輯（遵循專案 MISRA C 排版規範）：</w:t>
      </w:r>
    </w:p>
    <w:p>
      <w:pPr>
        <w:spacing w:lineRule="atLeast" w:line="260" w:before="12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 @brief  庫倫計數 SOC 更新（1 Hz 呼叫一次）。</w:t>
      </w:r>
    </w:p>
    <w:p>
      <w:pPr>
        <w:spacing w:lineRule="atLeast" w:line="260" w:before="0" w:after="0"/>
        <w:ind w:left="120"/>
        <w:jc w:val="left"/>
        <w:shd w:val="clear" w:color="auto" w:fill="F2F2F2"/>
      </w:pPr>
      <w:r>
        <w:rPr>
          <w:rFonts w:eastAsia="標楷體" w:ascii="Consolas" w:hAnsi="Consolas"/>
          <w:sz w:val="19"/>
        </w:rPr>
        <w:t xml:space="preserve"> *         參數說明：</w:t>
      </w:r>
    </w:p>
    <w:p>
      <w:pPr>
        <w:spacing w:lineRule="atLeast" w:line="260" w:before="0" w:after="0"/>
        <w:ind w:left="120"/>
        <w:jc w:val="left"/>
        <w:shd w:val="clear" w:color="auto" w:fill="F2F2F2"/>
      </w:pPr>
      <w:r>
        <w:rPr>
          <w:rFonts w:eastAsia="標楷體" w:ascii="Consolas" w:hAnsi="Consolas"/>
          <w:sz w:val="19"/>
        </w:rPr>
        <w:t xml:space="preserve"> *           - i_ua    : 校正後電流，單位 µA，放電為正、充電為負</w:t>
      </w:r>
    </w:p>
    <w:p>
      <w:pPr>
        <w:spacing w:lineRule="atLeast" w:line="260" w:before="0" w:after="0"/>
        <w:ind w:left="120"/>
        <w:jc w:val="left"/>
        <w:shd w:val="clear" w:color="auto" w:fill="F2F2F2"/>
      </w:pPr>
      <w:r>
        <w:rPr>
          <w:rFonts w:eastAsia="標楷體" w:ascii="Consolas" w:hAnsi="Consolas"/>
          <w:sz w:val="19"/>
        </w:rPr>
        <w:t xml:space="preserve"> *           - dt_ms   : 距上次更新之時間，單位 ms（標稱 1000）</w:t>
      </w:r>
    </w:p>
    <w:p>
      <w:pPr>
        <w:spacing w:lineRule="atLeast" w:line="260" w:before="0" w:after="0"/>
        <w:ind w:left="120"/>
        <w:jc w:val="left"/>
        <w:shd w:val="clear" w:color="auto" w:fill="F2F2F2"/>
      </w:pPr>
      <w:r>
        <w:rPr>
          <w:rFonts w:eastAsia="標楷體" w:ascii="Consolas" w:hAnsi="Consolas"/>
          <w:sz w:val="19"/>
        </w:rPr>
        <w:t xml:space="preserve"> *         模組靜態狀態：</w:t>
      </w:r>
    </w:p>
    <w:p>
      <w:pPr>
        <w:spacing w:lineRule="atLeast" w:line="260" w:before="0" w:after="0"/>
        <w:ind w:left="120"/>
        <w:jc w:val="left"/>
        <w:shd w:val="clear" w:color="auto" w:fill="F2F2F2"/>
      </w:pPr>
      <w:r>
        <w:rPr>
          <w:rFonts w:eastAsia="標楷體" w:ascii="Consolas" w:hAnsi="Consolas"/>
          <w:sz w:val="19"/>
        </w:rPr>
        <w:t xml:space="preserve"> *           - s_q_drawn_uas : 已流出電荷累計，單位 µA·s，int64_t</w:t>
      </w:r>
    </w:p>
    <w:p>
      <w:pPr>
        <w:spacing w:lineRule="atLeast" w:line="260" w:before="0" w:after="0"/>
        <w:ind w:left="120"/>
        <w:jc w:val="left"/>
        <w:shd w:val="clear" w:color="auto" w:fill="F2F2F2"/>
      </w:pPr>
      <w:r>
        <w:rPr>
          <w:rFonts w:eastAsia="標楷體" w:ascii="Consolas" w:hAnsi="Consolas"/>
          <w:sz w:val="19"/>
        </w:rPr>
        <w:t xml:space="preserve"> *           - s_q_rated_uas : 額定容量，單位 µA·s（2000 mAh = 7.2e9 µA·s）</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void coulomb_update(int32_t i_ua, uint32_t dt_ms)</w:t>
      </w:r>
    </w:p>
    <w:p>
      <w:pPr>
        <w:spacing w:lineRule="atLeast" w:line="260" w:before="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int64_t dq_uas = (int64_t)i_ua * (int64_t)dt_ms / 1000; // 本週期電荷增量</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s_q_drawn_uas += dq_uas; // 累計流出電荷</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if (s_q_drawn_uas &lt; 0)</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s_q_drawn_uas = 0; // 夾限：不得超過滿電</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if (s_q_drawn_uas &gt; s_q_rated_uas)</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s_q_drawn_uas = s_q_rated_uas; // 夾限：不得低於放空</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float32_t coulomb_get_soc(void)</w:t>
      </w:r>
    </w:p>
    <w:p>
      <w:pPr>
        <w:spacing w:lineRule="atLeast" w:line="260" w:before="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 僅在需要輸出時做一次浮點除法，避免長期累加之尾數丟失</w:t>
      </w:r>
    </w:p>
    <w:p>
      <w:pPr>
        <w:spacing w:lineRule="atLeast" w:line="260" w:before="0" w:after="0"/>
        <w:ind w:left="120"/>
        <w:jc w:val="left"/>
        <w:shd w:val="clear" w:color="auto" w:fill="F2F2F2"/>
      </w:pPr>
      <w:r>
        <w:rPr>
          <w:rFonts w:eastAsia="標楷體" w:ascii="Consolas" w:hAnsi="Consolas"/>
          <w:sz w:val="19"/>
        </w:rPr>
        <w:t xml:space="preserve">    return 1.0F - ((float32_t)s_q_drawn_uas / (float32_t)s_q_rated_uas);</w:t>
      </w:r>
    </w:p>
    <w:p>
      <w:pPr>
        <w:spacing w:lineRule="atLeast" w:line="260" w:before="0" w:after="120"/>
        <w:ind w:left="120"/>
        <w:jc w:val="left"/>
        <w:shd w:val="clear" w:color="auto" w:fill="F2F2F2"/>
      </w:pPr>
      <w:r>
        <w:rPr>
          <w:rFonts w:eastAsia="標楷體" w:ascii="Consolas" w:hAnsi="Consolas"/>
          <w:sz w:val="19"/>
        </w:rPr>
        <w:t>}</w:t>
      </w:r>
    </w:p>
    <w:p>
      <w:pPr>
        <w:spacing w:lineRule="atLeast" w:line="480"/>
        <w:ind w:firstLine="480"/>
        <w:jc w:val="both"/>
      </w:pPr>
      <w:r>
        <w:rPr>
          <w:rFonts w:eastAsia="標楷體" w:ascii="Times New Roman" w:hAnsi="Times New Roman"/>
          <w:b w:val="0"/>
          <w:i w:val="0"/>
          <w:sz w:val="24"/>
        </w:rPr>
        <w:t>此模組無矩陣、無查表、無浮點累加，每次更新僅一次 64 位元乘法、一次除法與兩次比較，是三法中資源占用的下界，作為 4.4 footprint 比較的參考底線。</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 xml:space="preserve">庫倫計數的實驗結果同時驗證兩件事：其一為電流積分核心於本平台之自洽性（容量再現性），其二為其作為真值的有效範圍與漂移侷限。資料取自第三章 </w:t>
      </w:r>
      <w:r>
        <w:rPr>
          <w:rFonts w:eastAsia="標楷體" w:ascii="Consolas" w:hAnsi="Consolas"/>
          <w:b w:val="0"/>
          <w:i w:val="0"/>
          <w:sz w:val="21"/>
        </w:rPr>
        <w:t>round_runner</w:t>
      </w:r>
      <w:r>
        <w:rPr>
          <w:rFonts w:eastAsia="標楷體" w:ascii="Times New Roman" w:hAnsi="Times New Roman"/>
          <w:b w:val="0"/>
          <w:i w:val="0"/>
          <w:sz w:val="24"/>
        </w:rPr>
        <w:t xml:space="preserve"> 跨輪協定累積之 </w:t>
      </w:r>
      <w:r>
        <w:rPr>
          <w:rFonts w:eastAsia="標楷體" w:ascii="Consolas" w:hAnsi="Consolas"/>
          <w:b w:val="0"/>
          <w:i w:val="0"/>
          <w:sz w:val="21"/>
        </w:rPr>
        <w:t>cycle_log.csv</w:t>
      </w:r>
      <w:r>
        <w:rPr>
          <w:rFonts w:eastAsia="標楷體" w:ascii="Times New Roman" w:hAnsi="Times New Roman"/>
          <w:b w:val="0"/>
          <w:i w:val="0"/>
          <w:sz w:val="24"/>
        </w:rPr>
        <w:t>（rounds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 `cycle_log.csv`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 </w:t>
      </w:r>
      <w:r>
        <w:rPr>
          <w:rFonts w:eastAsia="標楷體" w:ascii="Consolas" w:hAnsi="Consolas"/>
          <w:b w:val="0"/>
          <w:i w:val="0"/>
          <w:sz w:val="21"/>
        </w:rPr>
        <w:t>round_runner</w:t>
      </w:r>
      <w:r>
        <w:rPr>
          <w:rFonts w:eastAsia="標楷體" w:ascii="Times New Roman" w:hAnsi="Times New Roman"/>
          <w:b w:val="0"/>
          <w:i w:val="0"/>
          <w:sz w:val="24"/>
        </w:rPr>
        <w:t xml:space="preserve"> 協定與 INA226 校正之穩定性。此「滿放容量」即 4.0 節 SOC 真值正規化所用之 </w:t>
      </w:r>
      <w:r>
        <w:rPr>
          <w:rFonts w:eastAsia="標楷體" w:ascii="Times New Roman" w:hAnsi="Times New Roman"/>
          <w:b w:val="0"/>
          <w:i w:val="0"/>
          <w:sz w:val="24"/>
        </w:rPr>
        <w:t>q_full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w:t>
      </w:r>
      <w:r>
        <w:rPr>
          <w:rFonts w:eastAsia="標楷體" w:ascii="Consolas" w:hAnsi="Consolas"/>
          <w:b w:val="0"/>
          <w:i w:val="0"/>
          <w:sz w:val="21"/>
        </w:rPr>
        <w:t>cycle_log.csv</w:t>
      </w:r>
      <w:r>
        <w:rPr>
          <w:rFonts w:eastAsia="標楷體" w:ascii="Times New Roman" w:hAnsi="Times New Roman"/>
          <w:b w:val="0"/>
          <w:i w:val="0"/>
          <w:sz w:val="24"/>
        </w:rPr>
        <w:t xml:space="preserve"> 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SOC_truth=100%</w:t>
      </w:r>
      <w:r>
        <w:rPr>
          <w:rFonts w:eastAsia="標楷體" w:ascii="Times New Roman" w:hAnsi="Times New Roman"/>
          <w:b w:val="0"/>
          <w:i w:val="0"/>
          <w:sz w:val="24"/>
        </w:rPr>
        <w:t xml:space="preserve">、以實測 </w:t>
      </w:r>
      <w:r>
        <w:rPr>
          <w:rFonts w:eastAsia="標楷體" w:ascii="Times New Roman" w:hAnsi="Times New Roman"/>
          <w:b w:val="0"/>
          <w:i w:val="0"/>
          <w:sz w:val="24"/>
        </w:rPr>
        <w:t>q_full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SOC_truth(t)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e_max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b w:val="0"/>
          <w:i/>
          <w:color w:val="606060"/>
          <w:sz w:val="21"/>
        </w:rPr>
        <w:t>本節原理、狀態空間、演算法與 STM32 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；4.2.5 之實驗結果依賴 (a) 第三章 GITT OCV 表之建立、(b) PC 端 EKF 原型調參、(c) STM32 移植，三者於本稿時點尚在進行，數值結果一律標 </w:t>
      </w:r>
      <w:r>
        <w:rPr>
          <w:rFonts w:eastAsia="標楷體" w:ascii="Consolas" w:hAnsi="Consolas"/>
          <w:b w:val="0"/>
          <w:i/>
          <w:color w:val="606060"/>
          <w:sz w:val="19"/>
        </w:rPr>
        <w:t>[待測]</w:t>
      </w:r>
      <w:r>
        <w:rPr>
          <w:rFonts w:eastAsia="標楷體" w:ascii="Times New Roman" w:hAnsi="Times New Roman"/>
          <w:b w:val="0"/>
          <w:i/>
          <w:color w:val="606060"/>
          <w:sz w:val="21"/>
        </w:rPr>
        <w:t>。</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x = [SOC, V_1]ᵀ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y = V_t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SOĊ = -(η)/(C_rated) I V̇_1 = -(1)/(R_1 C_1) V_1 + (1)/(C_1) I V_t = V_OC(SOC) - I R_0 - V_1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x_k+1 = 1 0 0 e^-Δ t / τ_1 _A_k x_k + -η Δ t / C_rated R_1(1 - e^-Δ t/τ_1) _B_k I_k + w_k</w:t>
      </w:r>
    </w:p>
    <w:p>
      <w:pPr>
        <w:spacing w:before="120" w:after="120" w:lineRule="atLeast" w:line="480"/>
        <w:jc w:val="center"/>
      </w:pPr>
      <w:r>
        <w:rPr>
          <w:rFonts w:eastAsia="標楷體" w:ascii="Cambria Math" w:hAnsi="Cambria Math"/>
          <w:sz w:val="24"/>
        </w:rPr>
        <w:t>y_k = V_OC(SOC_k) - I_k R_0 - V_1,k + v_k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τ_1 = R_1 C_1</w:t>
      </w:r>
      <w:r>
        <w:rPr>
          <w:rFonts w:eastAsia="標楷體" w:ascii="Times New Roman" w:hAnsi="Times New Roman"/>
          <w:b w:val="0"/>
          <w:i w:val="0"/>
          <w:sz w:val="24"/>
        </w:rPr>
        <w:t>。</w:t>
      </w:r>
      <w:r>
        <w:rPr>
          <w:rFonts w:eastAsia="標楷體" w:ascii="Times New Roman" w:hAnsi="Times New Roman"/>
          <w:b w:val="0"/>
          <w:i w:val="0"/>
          <w:sz w:val="24"/>
        </w:rPr>
        <w:t>V_1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e^-Δ t/τ_1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τ_1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V_OC(SOC)</w:t>
      </w:r>
      <w:r>
        <w:rPr>
          <w:rFonts w:eastAsia="標楷體" w:ascii="Times New Roman" w:hAnsi="Times New Roman"/>
          <w:b w:val="0"/>
          <w:i w:val="0"/>
          <w:sz w:val="24"/>
        </w:rPr>
        <w:t xml:space="preserve">。本研究以第三章 3.7 節 GITT 建立之 pseudo-OCV 表 </w:t>
      </w:r>
      <w:r>
        <w:rPr>
          <w:rFonts w:eastAsia="標楷體" w:ascii="Times New Roman" w:hAnsi="Times New Roman"/>
          <w:b w:val="0"/>
          <w:i w:val="0"/>
          <w:sz w:val="24"/>
        </w:rPr>
        <w:t>V_pseudo(SOC)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C_k = (∂ y)/(∂ x)|_x̂_k = (∂ V_OC)/(∂ SOC)|_SOĈ_k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V_OC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 1 Hz 週期執行一次「預測—更新」遞迴：</w:t>
      </w:r>
    </w:p>
    <w:p>
      <w:pPr>
        <w:spacing w:lineRule="atLeast" w:line="260" w:before="120" w:after="0"/>
        <w:ind w:left="120"/>
        <w:jc w:val="left"/>
        <w:shd w:val="clear" w:color="auto" w:fill="F2F2F2"/>
      </w:pPr>
      <w:r>
        <w:rPr>
          <w:rFonts w:eastAsia="標楷體" w:ascii="Consolas" w:hAnsi="Consolas"/>
          <w:sz w:val="19"/>
        </w:rPr>
        <w:t>預測（時間更新）:</w:t>
      </w:r>
    </w:p>
    <w:p>
      <w:pPr>
        <w:spacing w:lineRule="atLeast" w:line="260" w:before="0" w:after="0"/>
        <w:ind w:left="120"/>
        <w:jc w:val="left"/>
        <w:shd w:val="clear" w:color="auto" w:fill="F2F2F2"/>
      </w:pPr>
      <w:r>
        <w:rPr>
          <w:rFonts w:eastAsia="標楷體" w:ascii="Consolas" w:hAnsi="Consolas"/>
          <w:sz w:val="19"/>
        </w:rPr>
        <w:t xml:space="preserve">    x_pred = A_k * x_hat + B_k * I_k            // 狀態先驗</w:t>
      </w:r>
    </w:p>
    <w:p>
      <w:pPr>
        <w:spacing w:lineRule="atLeast" w:line="260" w:before="0" w:after="0"/>
        <w:ind w:left="120"/>
        <w:jc w:val="left"/>
        <w:shd w:val="clear" w:color="auto" w:fill="F2F2F2"/>
      </w:pPr>
      <w:r>
        <w:rPr>
          <w:rFonts w:eastAsia="標楷體" w:ascii="Consolas" w:hAnsi="Consolas"/>
          <w:sz w:val="19"/>
        </w:rPr>
        <w:t xml:space="preserve">    P_pred = A_k * P * A_k^T + Q                // 誤差協方差先驗</w:t>
      </w:r>
    </w:p>
    <w:p>
      <w:pPr>
        <w:spacing w:lineRule="atLeast" w:line="260" w:before="0" w:after="0"/>
        <w:ind w:left="120"/>
        <w:jc w:val="left"/>
        <w:shd w:val="clear" w:color="auto" w:fill="F2F2F2"/>
      </w:pPr>
      <w:r>
        <w:rPr>
          <w:rFonts w:eastAsia="標楷體" w:ascii="Consolas" w:hAnsi="Consolas"/>
          <w:sz w:val="19"/>
        </w:rPr>
        <w:t>更新（量測更新）:</w:t>
      </w:r>
    </w:p>
    <w:p>
      <w:pPr>
        <w:spacing w:lineRule="atLeast" w:line="260" w:before="0" w:after="0"/>
        <w:ind w:left="120"/>
        <w:jc w:val="left"/>
        <w:shd w:val="clear" w:color="auto" w:fill="F2F2F2"/>
      </w:pPr>
      <w:r>
        <w:rPr>
          <w:rFonts w:eastAsia="標楷體" w:ascii="Consolas" w:hAnsi="Consolas"/>
          <w:sz w:val="19"/>
        </w:rPr>
        <w:t xml:space="preserve">    y_pred = OCV(x_pred.SOC) - I_k*R0 - x_pred.V1   // 端電壓預測</w:t>
      </w:r>
    </w:p>
    <w:p>
      <w:pPr>
        <w:spacing w:lineRule="atLeast" w:line="260" w:before="0" w:after="0"/>
        <w:ind w:left="120"/>
        <w:jc w:val="left"/>
        <w:shd w:val="clear" w:color="auto" w:fill="F2F2F2"/>
      </w:pPr>
      <w:r>
        <w:rPr>
          <w:rFonts w:eastAsia="標楷體" w:ascii="Consolas" w:hAnsi="Consolas"/>
          <w:sz w:val="19"/>
        </w:rPr>
        <w:t xml:space="preserve">    C_k    = [ dOCV/dSOC(x_pred.SOC) , -1 ]     // 觀測雅可比</w:t>
      </w:r>
    </w:p>
    <w:p>
      <w:pPr>
        <w:spacing w:lineRule="atLeast" w:line="260" w:before="0" w:after="0"/>
        <w:ind w:left="120"/>
        <w:jc w:val="left"/>
        <w:shd w:val="clear" w:color="auto" w:fill="F2F2F2"/>
      </w:pPr>
      <w:r>
        <w:rPr>
          <w:rFonts w:eastAsia="標楷體" w:ascii="Consolas" w:hAnsi="Consolas"/>
          <w:sz w:val="19"/>
        </w:rPr>
        <w:t xml:space="preserve">    S      = C_k * P_pred * C_k^T + R           // 殘差協方差（純量）</w:t>
      </w:r>
    </w:p>
    <w:p>
      <w:pPr>
        <w:spacing w:lineRule="atLeast" w:line="260" w:before="0" w:after="0"/>
        <w:ind w:left="120"/>
        <w:jc w:val="left"/>
        <w:shd w:val="clear" w:color="auto" w:fill="F2F2F2"/>
      </w:pPr>
      <w:r>
        <w:rPr>
          <w:rFonts w:eastAsia="標楷體" w:ascii="Consolas" w:hAnsi="Consolas"/>
          <w:sz w:val="19"/>
        </w:rPr>
        <w:t xml:space="preserve">    K      = P_pred * C_k^T / S                 // 卡爾曼增益（2x1）</w:t>
      </w:r>
    </w:p>
    <w:p>
      <w:pPr>
        <w:spacing w:lineRule="atLeast" w:line="260" w:before="0" w:after="0"/>
        <w:ind w:left="120"/>
        <w:jc w:val="left"/>
        <w:shd w:val="clear" w:color="auto" w:fill="F2F2F2"/>
      </w:pPr>
      <w:r>
        <w:rPr>
          <w:rFonts w:eastAsia="標楷體" w:ascii="Consolas" w:hAnsi="Consolas"/>
          <w:sz w:val="19"/>
        </w:rPr>
        <w:t xml:space="preserve">    x_hat  = x_pred + K * (V_meas - y_pred)     // 狀態後驗</w:t>
      </w:r>
    </w:p>
    <w:p>
      <w:pPr>
        <w:spacing w:lineRule="atLeast" w:line="260" w:before="0" w:after="0"/>
        <w:ind w:left="120"/>
        <w:jc w:val="left"/>
        <w:shd w:val="clear" w:color="auto" w:fill="F2F2F2"/>
      </w:pPr>
      <w:r>
        <w:rPr>
          <w:rFonts w:eastAsia="標楷體" w:ascii="Consolas" w:hAnsi="Consolas"/>
          <w:sz w:val="19"/>
        </w:rPr>
        <w:t xml:space="preserve">    P      = (I - K * C_k) * P_pred             // 協方差後驗（Joseph 式見實作）</w:t>
      </w:r>
    </w:p>
    <w:p>
      <w:pPr>
        <w:spacing w:lineRule="atLeast" w:line="260" w:before="0" w:after="120"/>
        <w:ind w:left="120"/>
        <w:jc w:val="left"/>
        <w:shd w:val="clear" w:color="auto" w:fill="F2F2F2"/>
      </w:pPr>
      <w:r>
        <w:rPr>
          <w:rFonts w:eastAsia="標楷體" w:ascii="Consolas" w:hAnsi="Consolas"/>
          <w:sz w:val="19"/>
        </w:rPr>
        <w:t xml:space="preserve">    SOC_k  = clamp(x_hat.SOC, 0, 1)</w:t>
      </w:r>
    </w:p>
    <w:p>
      <w:pPr>
        <w:spacing w:lineRule="atLeast" w:line="480"/>
        <w:ind w:firstLine="480"/>
        <w:jc w:val="both"/>
      </w:pPr>
      <w:r>
        <w:rPr>
          <w:rFonts w:eastAsia="標楷體" w:ascii="Times New Roman" w:hAnsi="Times New Roman"/>
          <w:b w:val="0"/>
          <w:i w:val="0"/>
          <w:sz w:val="24"/>
        </w:rPr>
        <w:t xml:space="preserve">維度極小（狀態 2 維、觀測 1 維），故 </w:t>
      </w:r>
      <w:r>
        <w:rPr>
          <w:rFonts w:eastAsia="標楷體" w:ascii="Times New Roman" w:hAnsi="Times New Roman"/>
          <w:b w:val="0"/>
          <w:i w:val="0"/>
          <w:sz w:val="24"/>
        </w:rPr>
        <w:t>S</w:t>
      </w:r>
      <w:r>
        <w:rPr>
          <w:rFonts w:eastAsia="標楷體" w:ascii="Times New Roman" w:hAnsi="Times New Roman"/>
          <w:b w:val="0"/>
          <w:i w:val="0"/>
          <w:sz w:val="24"/>
        </w:rPr>
        <w:t xml:space="preserve"> 為純量、增益計算僅需一次純量除法，無需一般矩陣求逆——這是 SOC-EKF 在嵌入式上可行的關鍵。協方差更新採 Joseph 穩定形式以維持 </w:t>
      </w:r>
      <w:r>
        <w:rPr>
          <w:rFonts w:eastAsia="標楷體" w:ascii="Times New Roman" w:hAnsi="Times New Roman"/>
          <w:b w:val="0"/>
          <w:i w:val="0"/>
          <w:sz w:val="24"/>
        </w:rPr>
        <w:t>P</w:t>
      </w:r>
      <w:r>
        <w:rPr>
          <w:rFonts w:eastAsia="標楷體" w:ascii="Times New Roman" w:hAnsi="Times New Roman"/>
          <w:b w:val="0"/>
          <w:i w:val="0"/>
          <w:sz w:val="24"/>
        </w:rPr>
        <w:t xml:space="preserve"> 對稱正定。</w:t>
      </w:r>
    </w:p>
    <w:p>
      <w:pPr>
        <w:spacing w:lineRule="atLeast" w:line="480"/>
        <w:ind w:firstLine="480"/>
        <w:jc w:val="both"/>
      </w:pPr>
      <w:r>
        <w:rPr>
          <w:rFonts w:eastAsia="標楷體" w:ascii="Times New Roman" w:hAnsi="Times New Roman"/>
          <w:b/>
          <w:i w:val="0"/>
          <w:sz w:val="24"/>
        </w:rPr>
        <w:t>參數來源</w:t>
      </w:r>
      <w:r>
        <w:rPr>
          <w:rFonts w:eastAsia="標楷體" w:ascii="Times New Roman" w:hAnsi="Times New Roman"/>
          <w:b w:val="0"/>
          <w:i w:val="0"/>
          <w:sz w:val="24"/>
        </w:rPr>
        <w:t>：</w:t>
      </w:r>
      <w:r>
        <w:rPr>
          <w:rFonts w:eastAsia="標楷體" w:ascii="Times New Roman" w:hAnsi="Times New Roman"/>
          <w:b w:val="0"/>
          <w:i w:val="0"/>
          <w:sz w:val="24"/>
        </w:rPr>
        <w:t>R_0, R_1, C_1</w:t>
      </w:r>
      <w:r>
        <w:rPr>
          <w:rFonts w:eastAsia="標楷體" w:ascii="Times New Roman" w:hAnsi="Times New Roman"/>
          <w:b w:val="0"/>
          <w:i w:val="0"/>
          <w:sz w:val="24"/>
        </w:rPr>
        <w:t xml:space="preserve"> 由放電脈衝鬆弛實驗辨識（利用第三章 dV/dI 擾動段之電壓階躍與回彈，以最小平方擬合一階 RC）；</w:t>
      </w:r>
      <w:r>
        <w:rPr>
          <w:rFonts w:eastAsia="標楷體" w:ascii="Times New Roman" w:hAnsi="Times New Roman"/>
          <w:b w:val="0"/>
          <w:i w:val="0"/>
          <w:sz w:val="24"/>
        </w:rPr>
        <w:t>Q</w:t>
      </w:r>
      <w:r>
        <w:rPr>
          <w:rFonts w:eastAsia="標楷體" w:ascii="Times New Roman" w:hAnsi="Times New Roman"/>
          <w:b w:val="0"/>
          <w:i w:val="0"/>
          <w:sz w:val="24"/>
        </w:rPr>
        <w:t>（過程雜訊）、</w:t>
      </w:r>
      <w:r>
        <w:rPr>
          <w:rFonts w:eastAsia="標楷體" w:ascii="Times New Roman" w:hAnsi="Times New Roman"/>
          <w:b w:val="0"/>
          <w:i w:val="0"/>
          <w:sz w:val="24"/>
        </w:rPr>
        <w:t>R</w:t>
      </w:r>
      <w:r>
        <w:rPr>
          <w:rFonts w:eastAsia="標楷體" w:ascii="Times New Roman" w:hAnsi="Times New Roman"/>
          <w:b w:val="0"/>
          <w:i w:val="0"/>
          <w:sz w:val="24"/>
        </w:rPr>
        <w:t>（量測雜訊，由 INA226／端電壓量測噪聲統計取得）為調參對象。</w:t>
      </w:r>
      <w:r>
        <w:rPr>
          <w:rFonts w:eastAsia="標楷體" w:ascii="Consolas" w:hAnsi="Consolas"/>
          <w:b w:val="0"/>
          <w:i w:val="0"/>
          <w:sz w:val="21"/>
        </w:rPr>
        <w:t>[待測]</w:t>
      </w:r>
      <w:r>
        <w:rPr>
          <w:rFonts w:eastAsia="標楷體" w:ascii="Times New Roman" w:hAnsi="Times New Roman"/>
          <w:b w:val="0"/>
          <w:i w:val="0"/>
          <w:sz w:val="24"/>
        </w:rPr>
        <w:t xml:space="preserve"> 上述 RC 參數之辨識值與 </w:t>
      </w:r>
      <w:r>
        <w:rPr>
          <w:rFonts w:eastAsia="標楷體" w:ascii="Times New Roman" w:hAnsi="Times New Roman"/>
          <w:b w:val="0"/>
          <w:i w:val="0"/>
          <w:sz w:val="24"/>
        </w:rPr>
        <w:t>Q, R</w:t>
      </w:r>
      <w:r>
        <w:rPr>
          <w:rFonts w:eastAsia="標楷體" w:ascii="Times New Roman" w:hAnsi="Times New Roman"/>
          <w:b w:val="0"/>
          <w:i w:val="0"/>
          <w:sz w:val="24"/>
        </w:rPr>
        <w:t xml:space="preserve"> 之最終調定值待 PC 原型完成後填入。</w:t>
      </w:r>
    </w:p>
    <w:p>
      <w:pPr>
        <w:spacing w:before="160" w:after="80" w:lineRule="atLeast" w:line="360"/>
        <w:jc w:val="left"/>
      </w:pPr>
      <w:r>
        <w:rPr>
          <w:rFonts w:eastAsia="標楷體" w:ascii="Times New Roman" w:hAnsi="Times New Roman"/>
          <w:b/>
          <w:i w:val="0"/>
          <w:sz w:val="26"/>
        </w:rPr>
        <w:t>4.2.4 STM32 實作</w:t>
      </w:r>
    </w:p>
    <w:p>
      <w:pPr>
        <w:spacing w:lineRule="atLeast" w:line="480"/>
        <w:ind w:firstLine="480"/>
        <w:jc w:val="both"/>
      </w:pPr>
      <w:r>
        <w:rPr>
          <w:rFonts w:eastAsia="標楷體" w:ascii="Times New Roman" w:hAnsi="Times New Roman"/>
          <w:b w:val="0"/>
          <w:i w:val="0"/>
          <w:sz w:val="24"/>
        </w:rPr>
        <w:t xml:space="preserve">EKF 模組於 </w:t>
      </w:r>
      <w:r>
        <w:rPr>
          <w:rFonts w:eastAsia="標楷體" w:ascii="Consolas" w:hAnsi="Consolas"/>
          <w:b w:val="0"/>
          <w:i w:val="0"/>
          <w:sz w:val="21"/>
        </w:rPr>
        <w:t>soc_soh_calc</w:t>
      </w:r>
      <w:r>
        <w:rPr>
          <w:rFonts w:eastAsia="標楷體" w:ascii="Times New Roman" w:hAnsi="Times New Roman"/>
          <w:b w:val="0"/>
          <w:i w:val="0"/>
          <w:sz w:val="24"/>
        </w:rPr>
        <w:t xml:space="preserve"> 內以單精度浮點實作（STM32G071 無 FPU，浮點走軟體模擬，故 CPU 週期顯著高於庫倫計數，此正是 4.4 待量化之代價）。設計要點：</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OCV 表</w:t>
      </w:r>
      <w:r>
        <w:rPr>
          <w:rFonts w:eastAsia="標楷體" w:ascii="Times New Roman" w:hAnsi="Times New Roman"/>
          <w:b w:val="0"/>
          <w:i w:val="0"/>
          <w:sz w:val="24"/>
        </w:rPr>
        <w:t>：載入時將 GITT 21 點（5% 步長）細化為 101 點（1% 步長）</w:t>
      </w:r>
      <w:r>
        <w:rPr>
          <w:rFonts w:eastAsia="標楷體" w:ascii="Consolas" w:hAnsi="Consolas"/>
          <w:b w:val="0"/>
          <w:i w:val="0"/>
          <w:sz w:val="21"/>
        </w:rPr>
        <w:t>const float32_t</w:t>
      </w:r>
      <w:r>
        <w:rPr>
          <w:rFonts w:eastAsia="標楷體" w:ascii="Times New Roman" w:hAnsi="Times New Roman"/>
          <w:b w:val="0"/>
          <w:i w:val="0"/>
          <w:sz w:val="24"/>
        </w:rPr>
        <w:t xml:space="preserve"> 陣列存於 Flash，查值與求斜率各為一次線性內插，避免執行期重算。</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矩陣運算展開</w:t>
      </w:r>
      <w:r>
        <w:rPr>
          <w:rFonts w:eastAsia="標楷體" w:ascii="Times New Roman" w:hAnsi="Times New Roman"/>
          <w:b w:val="0"/>
          <w:i w:val="0"/>
          <w:sz w:val="24"/>
        </w:rPr>
        <w:t>：因維度固定為 2×2／2×1，所有矩陣運算手動展開為純量算式，不引入通用矩陣函式庫，省去迴圈與函式呼叫開銷並便於 cycle 計數。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數值穩定</w:t>
      </w:r>
      <w:r>
        <w:rPr>
          <w:rFonts w:eastAsia="標楷體" w:ascii="Times New Roman" w:hAnsi="Times New Roman"/>
          <w:b w:val="0"/>
          <w:i w:val="0"/>
          <w:sz w:val="24"/>
        </w:rPr>
        <w:t>：</w:t>
      </w:r>
      <w:r>
        <w:rPr>
          <w:rFonts w:eastAsia="標楷體" w:ascii="Times New Roman" w:hAnsi="Times New Roman"/>
          <w:b w:val="0"/>
          <w:i w:val="0"/>
          <w:sz w:val="24"/>
        </w:rPr>
        <w:t>P</w:t>
      </w:r>
      <w:r>
        <w:rPr>
          <w:rFonts w:eastAsia="標楷體" w:ascii="Times New Roman" w:hAnsi="Times New Roman"/>
          <w:b w:val="0"/>
          <w:i w:val="0"/>
          <w:sz w:val="24"/>
        </w:rPr>
        <w:t xml:space="preserve"> 以 Joseph 形式更新並週期性強制對稱化（</w:t>
      </w:r>
      <w:r>
        <w:rPr>
          <w:rFonts w:eastAsia="標楷體" w:ascii="Times New Roman" w:hAnsi="Times New Roman"/>
          <w:b w:val="0"/>
          <w:i w:val="0"/>
          <w:sz w:val="24"/>
        </w:rPr>
        <w:t>P ← (P+Pᵀ)/2</w:t>
      </w:r>
      <w:r>
        <w:rPr>
          <w:rFonts w:eastAsia="標楷體" w:ascii="Times New Roman" w:hAnsi="Times New Roman"/>
          <w:b w:val="0"/>
          <w:i w:val="0"/>
          <w:sz w:val="24"/>
        </w:rPr>
        <w:t xml:space="preserve">）；SOC 後驗夾限至 </w:t>
      </w:r>
      <w:r>
        <w:rPr>
          <w:rFonts w:eastAsia="標楷體" w:ascii="Times New Roman" w:hAnsi="Times New Roman"/>
          <w:b w:val="0"/>
          <w:i w:val="0"/>
          <w:sz w:val="24"/>
        </w:rPr>
        <w:t>[0,1]</w:t>
      </w:r>
      <w:r>
        <w:rPr>
          <w:rFonts w:eastAsia="標楷體" w:ascii="Times New Roman" w:hAnsi="Times New Roman"/>
          <w:b w:val="0"/>
          <w:i w:val="0"/>
          <w:sz w:val="24"/>
        </w:rPr>
        <w:t>。</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初始化</w:t>
      </w:r>
      <w:r>
        <w:rPr>
          <w:rFonts w:eastAsia="標楷體" w:ascii="Times New Roman" w:hAnsi="Times New Roman"/>
          <w:b w:val="0"/>
          <w:i w:val="0"/>
          <w:sz w:val="24"/>
        </w:rPr>
        <w:t>：</w:t>
      </w:r>
      <w:r>
        <w:rPr>
          <w:rFonts w:eastAsia="標楷體" w:ascii="Times New Roman" w:hAnsi="Times New Roman"/>
          <w:b w:val="0"/>
          <w:i w:val="0"/>
          <w:sz w:val="24"/>
        </w:rPr>
        <w:t>SOĈ_0</w:t>
      </w:r>
      <w:r>
        <w:rPr>
          <w:rFonts w:eastAsia="標楷體" w:ascii="Times New Roman" w:hAnsi="Times New Roman"/>
          <w:b w:val="0"/>
          <w:i w:val="0"/>
          <w:sz w:val="24"/>
        </w:rPr>
        <w:t xml:space="preserve"> 可任意（EKF 應能收斂），</w:t>
      </w:r>
      <w:r>
        <w:rPr>
          <w:rFonts w:eastAsia="標楷體" w:ascii="Times New Roman" w:hAnsi="Times New Roman"/>
          <w:b w:val="0"/>
          <w:i w:val="0"/>
          <w:sz w:val="24"/>
        </w:rPr>
        <w:t>P_0</w:t>
      </w:r>
      <w:r>
        <w:rPr>
          <w:rFonts w:eastAsia="標楷體" w:ascii="Times New Roman" w:hAnsi="Times New Roman"/>
          <w:b w:val="0"/>
          <w:i w:val="0"/>
          <w:sz w:val="24"/>
        </w:rPr>
        <w:t xml:space="preserve"> 取較大值以反映初值不確定、加速收斂。</w:t>
      </w:r>
    </w:p>
    <w:p>
      <w:pPr>
        <w:spacing w:lineRule="atLeast" w:line="260" w:before="12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 @brief  EKF 一步遞迴（1 Hz 呼叫）。一階 RC 模型，狀態 [SOC, V1]。</w:t>
      </w:r>
    </w:p>
    <w:p>
      <w:pPr>
        <w:spacing w:lineRule="atLeast" w:line="260" w:before="0" w:after="0"/>
        <w:ind w:left="120"/>
        <w:jc w:val="left"/>
        <w:shd w:val="clear" w:color="auto" w:fill="F2F2F2"/>
      </w:pPr>
      <w:r>
        <w:rPr>
          <w:rFonts w:eastAsia="標楷體" w:ascii="Consolas" w:hAnsi="Consolas"/>
          <w:sz w:val="19"/>
        </w:rPr>
        <w:t xml:space="preserve"> *         參數說明：</w:t>
      </w:r>
    </w:p>
    <w:p>
      <w:pPr>
        <w:spacing w:lineRule="atLeast" w:line="260" w:before="0" w:after="0"/>
        <w:ind w:left="120"/>
        <w:jc w:val="left"/>
        <w:shd w:val="clear" w:color="auto" w:fill="F2F2F2"/>
      </w:pPr>
      <w:r>
        <w:rPr>
          <w:rFonts w:eastAsia="標楷體" w:ascii="Consolas" w:hAnsi="Consolas"/>
          <w:sz w:val="19"/>
        </w:rPr>
        <w:t xml:space="preserve"> *           - i_a     : 校正後電流，單位 A，放電為正</w:t>
      </w:r>
    </w:p>
    <w:p>
      <w:pPr>
        <w:spacing w:lineRule="atLeast" w:line="260" w:before="0" w:after="0"/>
        <w:ind w:left="120"/>
        <w:jc w:val="left"/>
        <w:shd w:val="clear" w:color="auto" w:fill="F2F2F2"/>
      </w:pPr>
      <w:r>
        <w:rPr>
          <w:rFonts w:eastAsia="標楷體" w:ascii="Consolas" w:hAnsi="Consolas"/>
          <w:sz w:val="19"/>
        </w:rPr>
        <w:t xml:space="preserve"> *           - v_meas  : 量測端電壓，單位 V</w:t>
      </w:r>
    </w:p>
    <w:p>
      <w:pPr>
        <w:spacing w:lineRule="atLeast" w:line="260" w:before="0" w:after="0"/>
        <w:ind w:left="120"/>
        <w:jc w:val="left"/>
        <w:shd w:val="clear" w:color="auto" w:fill="F2F2F2"/>
      </w:pPr>
      <w:r>
        <w:rPr>
          <w:rFonts w:eastAsia="標楷體" w:ascii="Consolas" w:hAnsi="Consolas"/>
          <w:sz w:val="19"/>
        </w:rPr>
        <w:t xml:space="preserve"> *           - dt_s    : 取樣週期，單位 s（標稱 1.0）</w:t>
      </w:r>
    </w:p>
    <w:p>
      <w:pPr>
        <w:spacing w:lineRule="atLeast" w:line="260" w:before="0" w:after="0"/>
        <w:ind w:left="120"/>
        <w:jc w:val="left"/>
        <w:shd w:val="clear" w:color="auto" w:fill="F2F2F2"/>
      </w:pPr>
      <w:r>
        <w:rPr>
          <w:rFonts w:eastAsia="標楷體" w:ascii="Consolas" w:hAnsi="Consolas"/>
          <w:sz w:val="19"/>
        </w:rPr>
        <w:t xml:space="preserve"> *         模組靜態狀態：x_hat[2]、P[2][2]、已辨識之 R0/R1/C1、Q[2][2]、R_meas</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void ekf_update(float32_t i_a, float32_t v_meas, float32_t dt_s)</w:t>
      </w:r>
    </w:p>
    <w:p>
      <w:pPr>
        <w:spacing w:lineRule="atLeast" w:line="260" w:before="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 時間更新、量測更新之純量展開實作（2x2），詳見 soc_soh_calc/ekf.c</w:t>
      </w:r>
    </w:p>
    <w:p>
      <w:pPr>
        <w:spacing w:lineRule="atLeast" w:line="260" w:before="0" w:after="0"/>
        <w:ind w:left="120"/>
        <w:jc w:val="left"/>
        <w:shd w:val="clear" w:color="auto" w:fill="F2F2F2"/>
      </w:pPr>
      <w:r>
        <w:rPr>
          <w:rFonts w:eastAsia="標楷體" w:ascii="Consolas" w:hAnsi="Consolas"/>
          <w:sz w:val="19"/>
        </w:rPr>
        <w:t xml:space="preserve">    // [待測] 完整實作隨 PC 原型定版後移植並回填本處節錄</w:t>
      </w:r>
    </w:p>
    <w:p>
      <w:pPr>
        <w:spacing w:lineRule="atLeast" w:line="260" w:before="0" w:after="120"/>
        <w:ind w:left="120"/>
        <w:jc w:val="left"/>
        <w:shd w:val="clear" w:color="auto" w:fill="F2F2F2"/>
      </w:pPr>
      <w:r>
        <w:rPr>
          <w:rFonts w:eastAsia="標楷體" w:ascii="Consolas" w:hAnsi="Consolas"/>
          <w:sz w:val="19"/>
        </w:rPr>
        <w:t>}</w:t>
      </w:r>
    </w:p>
    <w:p>
      <w:pPr>
        <w:spacing w:lineRule="atLeast" w:line="320" w:before="40" w:after="40"/>
        <w:ind w:left="360"/>
        <w:jc w:val="left"/>
      </w:pPr>
      <w:r>
        <w:rPr>
          <w:rFonts w:eastAsia="標楷體" w:ascii="Consolas" w:hAnsi="Consolas"/>
          <w:b w:val="0"/>
          <w:i/>
          <w:color w:val="606060"/>
          <w:sz w:val="19"/>
        </w:rPr>
        <w:t>[待測]</w:t>
      </w:r>
      <w:r>
        <w:rPr>
          <w:rFonts w:eastAsia="標楷體" w:ascii="Times New Roman" w:hAnsi="Times New Roman"/>
          <w:b w:val="0"/>
          <w:i/>
          <w:color w:val="606060"/>
          <w:sz w:val="21"/>
        </w:rPr>
        <w:t xml:space="preserve"> 完整 C 實作、Flash／RAM 佔用與每次更新 CPU 週期，待 STM32 移植與 footprint 量測後填入 4.4 節。</w:t>
      </w:r>
    </w:p>
    <w:p>
      <w:pPr>
        <w:spacing w:before="160" w:after="80" w:lineRule="atLeast" w:line="360"/>
        <w:jc w:val="left"/>
      </w:pPr>
      <w:r>
        <w:rPr>
          <w:rFonts w:eastAsia="標楷體" w:ascii="Times New Roman" w:hAnsi="Times New Roman"/>
          <w:b/>
          <w:i w:val="0"/>
          <w:sz w:val="26"/>
        </w:rPr>
        <w:t>4.2.5 實驗結果</w:t>
      </w:r>
    </w:p>
    <w:p>
      <w:pPr>
        <w:spacing w:lineRule="atLeast" w:line="320" w:before="40" w:after="40"/>
        <w:ind w:left="360"/>
        <w:jc w:val="left"/>
      </w:pPr>
      <w:r>
        <w:rPr>
          <w:rFonts w:eastAsia="標楷體" w:ascii="Times New Roman" w:hAnsi="Times New Roman"/>
          <w:b w:val="0"/>
          <w:i/>
          <w:color w:val="606060"/>
          <w:sz w:val="21"/>
        </w:rPr>
        <w:t>以下結果依賴 GITT OCV 表、PC 原型與 STM32 移植，本稿時點尚未取得，</w:t>
      </w:r>
      <w:r>
        <w:rPr>
          <w:rFonts w:eastAsia="標楷體" w:ascii="Times New Roman" w:hAnsi="Times New Roman"/>
          <w:b/>
          <w:i/>
          <w:color w:val="606060"/>
          <w:sz w:val="21"/>
        </w:rPr>
        <w:t>全部標 `[待測]`，不填虛構數值</w:t>
      </w:r>
      <w:r>
        <w:rPr>
          <w:rFonts w:eastAsia="標楷體" w:ascii="Times New Roman" w:hAnsi="Times New Roman"/>
          <w:b w:val="0"/>
          <w:i/>
          <w:color w:val="606060"/>
          <w:sz w:val="21"/>
        </w:rPr>
        <w:t>。</w:t>
      </w:r>
    </w:p>
    <w:p>
      <w:pPr>
        <w:spacing w:lineRule="atLeast" w:line="480"/>
        <w:ind w:firstLine="480"/>
        <w:jc w:val="both"/>
      </w:pPr>
      <w:r>
        <w:rPr>
          <w:rFonts w:eastAsia="標楷體" w:ascii="Times New Roman" w:hAnsi="Times New Roman"/>
          <w:b/>
          <w:i w:val="0"/>
          <w:sz w:val="24"/>
        </w:rPr>
        <w:t>OCV 表（前置產物）</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GITT 雙向 pseudo-OCV 表（SOC × </w:t>
      </w:r>
      <w:r>
        <w:rPr>
          <w:rFonts w:eastAsia="標楷體" w:ascii="Times New Roman" w:hAnsi="Times New Roman"/>
          <w:b w:val="0"/>
          <w:i w:val="0"/>
          <w:sz w:val="24"/>
        </w:rPr>
        <w:t>V_disch</w:t>
      </w:r>
      <w:r>
        <w:rPr>
          <w:rFonts w:eastAsia="標楷體" w:ascii="Times New Roman" w:hAnsi="Times New Roman"/>
          <w:b w:val="0"/>
          <w:i w:val="0"/>
          <w:sz w:val="24"/>
        </w:rPr>
        <w:t xml:space="preserve"> × </w:t>
      </w:r>
      <w:r>
        <w:rPr>
          <w:rFonts w:eastAsia="標楷體" w:ascii="Times New Roman" w:hAnsi="Times New Roman"/>
          <w:b w:val="0"/>
          <w:i w:val="0"/>
          <w:sz w:val="24"/>
        </w:rPr>
        <w:t>V_chg</w:t>
      </w:r>
      <w:r>
        <w:rPr>
          <w:rFonts w:eastAsia="標楷體" w:ascii="Times New Roman" w:hAnsi="Times New Roman"/>
          <w:b w:val="0"/>
          <w:i w:val="0"/>
          <w:sz w:val="24"/>
        </w:rPr>
        <w:t xml:space="preserve"> × </w:t>
      </w:r>
      <w:r>
        <w:rPr>
          <w:rFonts w:eastAsia="標楷體" w:ascii="Times New Roman" w:hAnsi="Times New Roman"/>
          <w:b w:val="0"/>
          <w:i w:val="0"/>
          <w:sz w:val="24"/>
        </w:rPr>
        <w:t>V_pseudo</w:t>
      </w:r>
      <w:r>
        <w:rPr>
          <w:rFonts w:eastAsia="標楷體" w:ascii="Times New Roman" w:hAnsi="Times New Roman"/>
          <w:b w:val="0"/>
          <w:i w:val="0"/>
          <w:sz w:val="24"/>
        </w:rPr>
        <w:t xml:space="preserve">，源 </w:t>
      </w:r>
      <w:r>
        <w:rPr>
          <w:rFonts w:eastAsia="標楷體" w:ascii="Consolas" w:hAnsi="Consolas"/>
          <w:b w:val="0"/>
          <w:i w:val="0"/>
          <w:sz w:val="21"/>
        </w:rPr>
        <w:t>ocv_table_*.csv</w:t>
      </w:r>
      <w:r>
        <w:rPr>
          <w:rFonts w:eastAsia="標楷體" w:ascii="Times New Roman" w:hAnsi="Times New Roman"/>
          <w:b w:val="0"/>
          <w:i w:val="0"/>
          <w:sz w:val="24"/>
        </w:rPr>
        <w:t>），及其 1% 細化曲線與斜率。</w:t>
      </w:r>
    </w:p>
    <w:p>
      <w:pPr>
        <w:spacing w:lineRule="atLeast" w:line="480"/>
        <w:ind w:firstLine="480"/>
        <w:jc w:val="both"/>
      </w:pPr>
      <w:r>
        <w:rPr>
          <w:rFonts w:eastAsia="標楷體" w:ascii="Times New Roman" w:hAnsi="Times New Roman"/>
          <w:b/>
          <w:i w:val="0"/>
          <w:sz w:val="24"/>
        </w:rPr>
        <w:t>標稱工況精度</w:t>
      </w:r>
      <w:r>
        <w:rPr>
          <w:rFonts w:eastAsia="標楷體" w:ascii="Times New Roman" w:hAnsi="Times New Roman"/>
          <w:b w:val="0"/>
          <w:i w:val="0"/>
          <w:sz w:val="24"/>
        </w:rPr>
        <w:t>：對 0.5C／1.0C／1.5C／2.0C 各放電 cycle，以 4.0 節框架計算 EKF 之 RMSE／MAE／</w:t>
      </w:r>
      <w:r>
        <w:rPr>
          <w:rFonts w:eastAsia="標楷體" w:ascii="Times New Roman" w:hAnsi="Times New Roman"/>
          <w:b w:val="0"/>
          <w:i w:val="0"/>
          <w:sz w:val="24"/>
        </w:rPr>
        <w:t>e_max</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數值。</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1505"/>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2795"/>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r>
      <w:tr>
        <w:tc>
          <w:tcPr>
            <w:tcW w:type="dxa" w:w="860"/>
            <w:vAlign w:val="center"/>
          </w:tcPr>
          <w:p>
            <w:pPr>
              <w:spacing w:before="20" w:after="20" w:lineRule="atLeast" w:line="280"/>
              <w:jc w:val="right"/>
            </w:pPr>
            <w:r>
              <w:rPr>
                <w:rFonts w:eastAsia="標楷體" w:ascii="Times New Roman" w:hAnsi="Times New Roman"/>
                <w:b w:val="0"/>
                <w:i w:val="0"/>
                <w:sz w:val="21"/>
              </w:rPr>
              <w:t>0.5C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2.0C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4-2</w:t>
      </w:r>
      <w:r>
        <w:rPr>
          <w:rFonts w:eastAsia="標楷體" w:ascii="Times New Roman" w:hAnsi="Times New Roman"/>
          <w:b w:val="0"/>
          <w:i w:val="0"/>
          <w:sz w:val="22"/>
        </w:rPr>
        <w:t xml:space="preserve">　EKF 各倍率精度（待 PC 原型／STM32 移植後實測填入）</w:t>
      </w:r>
    </w:p>
    <w:p>
      <w:pPr>
        <w:spacing w:lineRule="atLeast" w:line="480"/>
        <w:ind w:firstLine="480"/>
        <w:jc w:val="both"/>
      </w:pPr>
      <w:r>
        <w:rPr>
          <w:rFonts w:eastAsia="標楷體" w:ascii="Times New Roman" w:hAnsi="Times New Roman"/>
          <w:b/>
          <w:i w:val="0"/>
          <w:sz w:val="24"/>
        </w:rPr>
        <w:t>初值錯誤收斂</w:t>
      </w:r>
      <w:r>
        <w:rPr>
          <w:rFonts w:eastAsia="標楷體" w:ascii="Times New Roman" w:hAnsi="Times New Roman"/>
          <w:b w:val="0"/>
          <w:i w:val="0"/>
          <w:sz w:val="24"/>
        </w:rPr>
        <w:t xml:space="preserve">：刻意以 </w:t>
      </w:r>
      <w:r>
        <w:rPr>
          <w:rFonts w:eastAsia="標楷體" w:ascii="Times New Roman" w:hAnsi="Times New Roman"/>
          <w:b w:val="0"/>
          <w:i w:val="0"/>
          <w:sz w:val="24"/>
        </w:rPr>
        <w:t>SOĈ_0 = 80%</w:t>
      </w:r>
      <w:r>
        <w:rPr>
          <w:rFonts w:eastAsia="標楷體" w:ascii="Times New Roman" w:hAnsi="Times New Roman"/>
          <w:b w:val="0"/>
          <w:i w:val="0"/>
          <w:sz w:val="24"/>
        </w:rPr>
        <w:t xml:space="preserve">（真值 100%）起步，觀察誤差收斂軌跡與 </w:t>
      </w:r>
      <w:r>
        <w:rPr>
          <w:rFonts w:eastAsia="標楷體" w:ascii="Times New Roman" w:hAnsi="Times New Roman"/>
          <w:b w:val="0"/>
          <w:i w:val="0"/>
          <w:sz w:val="24"/>
        </w:rPr>
        <w:t>t_conv</w:t>
      </w:r>
      <w:r>
        <w:rPr>
          <w:rFonts w:eastAsia="標楷體" w:ascii="Times New Roman" w:hAnsi="Times New Roman"/>
          <w:b w:val="0"/>
          <w:i w:val="0"/>
          <w:sz w:val="24"/>
        </w:rPr>
        <w:t>，驗證 EKF 相對庫倫計數之核心優勢。</w:t>
      </w:r>
      <w:r>
        <w:rPr>
          <w:rFonts w:eastAsia="標楷體" w:ascii="Consolas" w:hAnsi="Consolas"/>
          <w:b w:val="0"/>
          <w:i w:val="0"/>
          <w:sz w:val="21"/>
        </w:rPr>
        <w:t>[待測]</w:t>
      </w:r>
      <w:r>
        <w:rPr>
          <w:rFonts w:eastAsia="標楷體" w:ascii="Times New Roman" w:hAnsi="Times New Roman"/>
          <w:b w:val="0"/>
          <w:i w:val="0"/>
          <w:sz w:val="24"/>
        </w:rPr>
        <w:t xml:space="preserve"> 收斂曲線與時間。</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b w:val="0"/>
          <w:i/>
          <w:color w:val="606060"/>
          <w:sz w:val="21"/>
        </w:rPr>
        <w:t>本節原理、演算法與 STM32 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；4.3.4 之 </w:t>
      </w:r>
      <w:r>
        <w:rPr>
          <w:rFonts w:eastAsia="標楷體" w:ascii="Times New Roman" w:hAnsi="Times New Roman"/>
          <w:b w:val="0"/>
          <w:i/>
          <w:color w:val="606060"/>
          <w:sz w:val="21"/>
        </w:rPr>
        <w:t>Δ V/Δ I</w:t>
      </w:r>
      <w:r>
        <w:rPr>
          <w:rFonts w:eastAsia="標楷體" w:ascii="Times New Roman" w:hAnsi="Times New Roman"/>
          <w:b w:val="0"/>
          <w:i/>
          <w:color w:val="606060"/>
          <w:sz w:val="21"/>
        </w:rPr>
        <w:t xml:space="preserve">–SOC 擬合係數與精度依賴對既有擾動數據之系統性萃取與韌體化，本稿時點尚未完成，數值結果標 </w:t>
      </w:r>
      <w:r>
        <w:rPr>
          <w:rFonts w:eastAsia="標楷體" w:ascii="Consolas" w:hAnsi="Consolas"/>
          <w:b w:val="0"/>
          <w:i/>
          <w:color w:val="606060"/>
          <w:sz w:val="19"/>
        </w:rPr>
        <w:t>[待測]</w:t>
      </w:r>
      <w:r>
        <w:rPr>
          <w:rFonts w:eastAsia="標楷體" w:ascii="Times New Roman" w:hAnsi="Times New Roman"/>
          <w:b w:val="0"/>
          <w:i/>
          <w:color w:val="606060"/>
          <w:sz w:val="21"/>
        </w:rPr>
        <w:t>。</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動態阻抗法（Lin 2016 [2]）避開「需初始值」與「需長時間靜置」兩大限制，改以電池工作中端電壓對電流的瞬時變化率推估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Z_dyn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Z_dyn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Z_dyn</w:t>
      </w:r>
      <w:r>
        <w:rPr>
          <w:rFonts w:eastAsia="標楷體" w:ascii="Times New Roman" w:hAnsi="Times New Roman"/>
          <w:b w:val="0"/>
          <w:i w:val="0"/>
          <w:sz w:val="24"/>
        </w:rPr>
        <w:t xml:space="preserve"> 對 SOC 之變化率正負判別位於曲線哪一側以取唯一解 [2]。</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3.6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before="160" w:after="80" w:lineRule="atLeast" w:line="360"/>
        <w:jc w:val="left"/>
      </w:pPr>
      <w:r>
        <w:rPr>
          <w:rFonts w:eastAsia="標楷體" w:ascii="Times New Roman" w:hAnsi="Times New Roman"/>
          <w:b/>
          <w:i w:val="0"/>
          <w:sz w:val="26"/>
        </w:rPr>
        <w:t>4.3.3 演算法</w:t>
      </w:r>
    </w:p>
    <w:p>
      <w:pPr>
        <w:spacing w:lineRule="atLeast" w:line="260" w:before="120" w:after="0"/>
        <w:ind w:left="120"/>
        <w:jc w:val="left"/>
        <w:shd w:val="clear" w:color="auto" w:fill="F2F2F2"/>
      </w:pPr>
      <w:r>
        <w:rPr>
          <w:rFonts w:eastAsia="標楷體" w:ascii="Consolas" w:hAnsi="Consolas"/>
          <w:sz w:val="19"/>
        </w:rPr>
        <w:t>建表階段（離線，PC）:</w:t>
      </w:r>
    </w:p>
    <w:p>
      <w:pPr>
        <w:spacing w:lineRule="atLeast" w:line="260" w:before="0" w:after="0"/>
        <w:ind w:left="120"/>
        <w:jc w:val="left"/>
        <w:shd w:val="clear" w:color="auto" w:fill="F2F2F2"/>
      </w:pPr>
      <w:r>
        <w:rPr>
          <w:rFonts w:eastAsia="標楷體" w:ascii="Consolas" w:hAnsi="Consolas"/>
          <w:sz w:val="19"/>
        </w:rPr>
        <w:t xml:space="preserve">    對每個放電 cycle 的每個擾動事件:</w:t>
      </w:r>
    </w:p>
    <w:p>
      <w:pPr>
        <w:spacing w:lineRule="atLeast" w:line="260" w:before="0" w:after="0"/>
        <w:ind w:left="120"/>
        <w:jc w:val="left"/>
        <w:shd w:val="clear" w:color="auto" w:fill="F2F2F2"/>
      </w:pPr>
      <w:r>
        <w:rPr>
          <w:rFonts w:eastAsia="標楷體" w:ascii="Consolas" w:hAnsi="Consolas"/>
          <w:sz w:val="19"/>
        </w:rPr>
        <w:t xml:space="preserve">        取步降前穩態 (V1, I1)、dwell 末穩態 (V2, I2)</w:t>
      </w:r>
    </w:p>
    <w:p>
      <w:pPr>
        <w:spacing w:lineRule="atLeast" w:line="260" w:before="0" w:after="0"/>
        <w:ind w:left="120"/>
        <w:jc w:val="left"/>
        <w:shd w:val="clear" w:color="auto" w:fill="F2F2F2"/>
      </w:pPr>
      <w:r>
        <w:rPr>
          <w:rFonts w:eastAsia="標楷體" w:ascii="Consolas" w:hAnsi="Consolas"/>
          <w:sz w:val="19"/>
        </w:rPr>
        <w:t xml:space="preserve">        Z = (V1 - V2) / (I1 - I2)</w:t>
      </w:r>
    </w:p>
    <w:p>
      <w:pPr>
        <w:spacing w:lineRule="atLeast" w:line="260" w:before="0" w:after="0"/>
        <w:ind w:left="120"/>
        <w:jc w:val="left"/>
        <w:shd w:val="clear" w:color="auto" w:fill="F2F2F2"/>
      </w:pPr>
      <w:r>
        <w:rPr>
          <w:rFonts w:eastAsia="標楷體" w:ascii="Consolas" w:hAnsi="Consolas"/>
          <w:sz w:val="19"/>
        </w:rPr>
        <w:t xml:space="preserve">        soc = 庫倫真值 @ 該事件時刻</w:t>
      </w:r>
    </w:p>
    <w:p>
      <w:pPr>
        <w:spacing w:lineRule="atLeast" w:line="260" w:before="0" w:after="0"/>
        <w:ind w:left="120"/>
        <w:jc w:val="left"/>
        <w:shd w:val="clear" w:color="auto" w:fill="F2F2F2"/>
      </w:pPr>
      <w:r>
        <w:rPr>
          <w:rFonts w:eastAsia="標楷體" w:ascii="Consolas" w:hAnsi="Consolas"/>
          <w:sz w:val="19"/>
        </w:rPr>
        <w:t xml:space="preserve">        累積散點 (soc, Z)</w:t>
      </w:r>
    </w:p>
    <w:p>
      <w:pPr>
        <w:spacing w:lineRule="atLeast" w:line="260" w:before="0" w:after="0"/>
        <w:ind w:left="120"/>
        <w:jc w:val="left"/>
        <w:shd w:val="clear" w:color="auto" w:fill="F2F2F2"/>
      </w:pPr>
      <w:r>
        <w:rPr>
          <w:rFonts w:eastAsia="標楷體" w:ascii="Consolas" w:hAnsi="Consolas"/>
          <w:sz w:val="19"/>
        </w:rPr>
        <w:t xml:space="preserve">    最小平方擬合 Z = a*SOC^2 + b*SOC + c    // 得 a, b, c</w:t>
      </w:r>
    </w:p>
    <w:p>
      <w:pPr>
        <w:spacing w:lineRule="atLeast" w:line="260" w:before="0" w:after="0"/>
        <w:ind w:left="120"/>
        <w:jc w:val="left"/>
        <w:shd w:val="clear" w:color="auto" w:fill="F2F2F2"/>
      </w:pPr>
      <w:r>
        <w:rPr>
          <w:rFonts w:eastAsia="標楷體" w:ascii="Consolas" w:hAnsi="Consolas"/>
          <w:sz w:val="19"/>
        </w:rPr>
        <w:t xml:space="preserve">    記錄頂點 SOC* = -b/(2a)                  // 拋物線最小值位置，判枝用</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即時估測階段（MCU）:</w:t>
      </w:r>
    </w:p>
    <w:p>
      <w:pPr>
        <w:spacing w:lineRule="atLeast" w:line="260" w:before="0" w:after="0"/>
        <w:ind w:left="120"/>
        <w:jc w:val="left"/>
        <w:shd w:val="clear" w:color="auto" w:fill="F2F2F2"/>
      </w:pPr>
      <w:r>
        <w:rPr>
          <w:rFonts w:eastAsia="標楷體" w:ascii="Consolas" w:hAnsi="Consolas"/>
          <w:sz w:val="19"/>
        </w:rPr>
        <w:t xml:space="preserve">    每偵測到一次擾動事件:</w:t>
      </w:r>
    </w:p>
    <w:p>
      <w:pPr>
        <w:spacing w:lineRule="atLeast" w:line="260" w:before="0" w:after="0"/>
        <w:ind w:left="120"/>
        <w:jc w:val="left"/>
        <w:shd w:val="clear" w:color="auto" w:fill="F2F2F2"/>
      </w:pPr>
      <w:r>
        <w:rPr>
          <w:rFonts w:eastAsia="標楷體" w:ascii="Consolas" w:hAnsi="Consolas"/>
          <w:sz w:val="19"/>
        </w:rPr>
        <w:t xml:space="preserve">        Z = (V_before - V_after) / (I_before - I_after)</w:t>
      </w:r>
    </w:p>
    <w:p>
      <w:pPr>
        <w:spacing w:lineRule="atLeast" w:line="260" w:before="0" w:after="0"/>
        <w:ind w:left="120"/>
        <w:jc w:val="left"/>
        <w:shd w:val="clear" w:color="auto" w:fill="F2F2F2"/>
      </w:pPr>
      <w:r>
        <w:rPr>
          <w:rFonts w:eastAsia="標楷體" w:ascii="Consolas" w:hAnsi="Consolas"/>
          <w:sz w:val="19"/>
        </w:rPr>
        <w:t xml:space="preserve">        解 a*SOC^2 + b*SOC + (c - Z) = 0     // 兩根</w:t>
      </w:r>
    </w:p>
    <w:p>
      <w:pPr>
        <w:spacing w:lineRule="atLeast" w:line="260" w:before="0" w:after="0"/>
        <w:ind w:left="120"/>
        <w:jc w:val="left"/>
        <w:shd w:val="clear" w:color="auto" w:fill="F2F2F2"/>
      </w:pPr>
      <w:r>
        <w:rPr>
          <w:rFonts w:eastAsia="標楷體" w:ascii="Consolas" w:hAnsi="Consolas"/>
          <w:sz w:val="19"/>
        </w:rPr>
        <w:t xml:space="preserve">        以「Z 對 SOC 變化率正負」或前一 SOC 鄰近性選正確根</w:t>
      </w:r>
    </w:p>
    <w:p>
      <w:pPr>
        <w:spacing w:lineRule="atLeast" w:line="260" w:before="0" w:after="0"/>
        <w:ind w:left="120"/>
        <w:jc w:val="left"/>
        <w:shd w:val="clear" w:color="auto" w:fill="F2F2F2"/>
      </w:pPr>
      <w:r>
        <w:rPr>
          <w:rFonts w:eastAsia="標楷體" w:ascii="Consolas" w:hAnsi="Consolas"/>
          <w:sz w:val="19"/>
        </w:rPr>
        <w:t xml:space="preserve">        SOC_k = 選定根（夾限 [0,1]）</w:t>
      </w:r>
    </w:p>
    <w:p>
      <w:pPr>
        <w:spacing w:lineRule="atLeast" w:line="260" w:before="0" w:after="120"/>
        <w:ind w:left="120"/>
        <w:jc w:val="left"/>
        <w:shd w:val="clear" w:color="auto" w:fill="F2F2F2"/>
      </w:pPr>
      <w:r>
        <w:rPr>
          <w:rFonts w:eastAsia="標楷體" w:ascii="Consolas" w:hAnsi="Consolas"/>
          <w:sz w:val="19"/>
        </w:rPr>
        <w:t xml:space="preserve">    擾動事件之間: 以庫倫計數內插維持連續 SOC（混合策略）</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STM32 實作與實驗結果</w:t>
      </w:r>
    </w:p>
    <w:p>
      <w:pPr>
        <w:spacing w:lineRule="atLeast" w:line="480"/>
        <w:ind w:firstLine="480"/>
        <w:jc w:val="both"/>
      </w:pPr>
      <w:r>
        <w:rPr>
          <w:rFonts w:eastAsia="標楷體" w:ascii="Times New Roman" w:hAnsi="Times New Roman"/>
          <w:b/>
          <w:i w:val="0"/>
          <w:sz w:val="24"/>
        </w:rPr>
        <w:t>STM32 實作（設計完成）</w:t>
      </w:r>
      <w:r>
        <w:rPr>
          <w:rFonts w:eastAsia="標楷體" w:ascii="Times New Roman" w:hAnsi="Times New Roman"/>
          <w:b w:val="0"/>
          <w:i w:val="0"/>
          <w:sz w:val="24"/>
        </w:rPr>
        <w:t xml:space="preserve">：MCU 端僅需儲存擬合係數 </w:t>
      </w:r>
      <w:r>
        <w:rPr>
          <w:rFonts w:eastAsia="標楷體" w:ascii="Times New Roman" w:hAnsi="Times New Roman"/>
          <w:b w:val="0"/>
          <w:i w:val="0"/>
          <w:sz w:val="24"/>
        </w:rPr>
        <w:t>a, b, c</w:t>
      </w:r>
      <w:r>
        <w:rPr>
          <w:rFonts w:eastAsia="標楷體" w:ascii="Times New Roman" w:hAnsi="Times New Roman"/>
          <w:b w:val="0"/>
          <w:i w:val="0"/>
          <w:sz w:val="24"/>
        </w:rPr>
        <w:t xml:space="preserve"> 與頂點 </w:t>
      </w:r>
      <w:r>
        <w:rPr>
          <w:rFonts w:eastAsia="標楷體" w:ascii="Times New Roman" w:hAnsi="Times New Roman"/>
          <w:b w:val="0"/>
          <w:i w:val="0"/>
          <w:sz w:val="24"/>
        </w:rPr>
        <w:t>SOC^*</w:t>
      </w:r>
      <w:r>
        <w:rPr>
          <w:rFonts w:eastAsia="標楷體" w:ascii="Times New Roman" w:hAnsi="Times New Roman"/>
          <w:b w:val="0"/>
          <w:i w:val="0"/>
          <w:sz w:val="24"/>
        </w:rPr>
        <w:t xml:space="preserve">（4 個 </w:t>
      </w:r>
      <w:r>
        <w:rPr>
          <w:rFonts w:eastAsia="標楷體" w:ascii="Consolas" w:hAnsi="Consolas"/>
          <w:b w:val="0"/>
          <w:i w:val="0"/>
          <w:sz w:val="21"/>
        </w:rPr>
        <w:t>float32_t</w:t>
      </w:r>
      <w:r>
        <w:rPr>
          <w:rFonts w:eastAsia="標楷體" w:ascii="Times New Roman" w:hAnsi="Times New Roman"/>
          <w:b w:val="0"/>
          <w:i w:val="0"/>
          <w:sz w:val="24"/>
        </w:rPr>
        <w:t>），擾動偵測由電流階躍門檻觸發，估測核心為一次差分、一次二次方程求根（含一次平方根）與分枝判斷，運算量介於庫倫計數與 EKF 之間、無矩陣運算、無 OCV 表，是「嵌入式輕量化代表」。</w:t>
      </w:r>
    </w:p>
    <w:p>
      <w:pPr>
        <w:spacing w:lineRule="atLeast" w:line="260" w:before="12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 @brief  動態阻抗 SOC 估測（偵測到擾動事件時呼叫一次）。</w:t>
      </w:r>
    </w:p>
    <w:p>
      <w:pPr>
        <w:spacing w:lineRule="atLeast" w:line="260" w:before="0" w:after="0"/>
        <w:ind w:left="120"/>
        <w:jc w:val="left"/>
        <w:shd w:val="clear" w:color="auto" w:fill="F2F2F2"/>
      </w:pPr>
      <w:r>
        <w:rPr>
          <w:rFonts w:eastAsia="標楷體" w:ascii="Consolas" w:hAnsi="Consolas"/>
          <w:sz w:val="19"/>
        </w:rPr>
        <w:t xml:space="preserve"> *         參數說明：</w:t>
      </w:r>
    </w:p>
    <w:p>
      <w:pPr>
        <w:spacing w:lineRule="atLeast" w:line="260" w:before="0" w:after="0"/>
        <w:ind w:left="120"/>
        <w:jc w:val="left"/>
        <w:shd w:val="clear" w:color="auto" w:fill="F2F2F2"/>
      </w:pPr>
      <w:r>
        <w:rPr>
          <w:rFonts w:eastAsia="標楷體" w:ascii="Consolas" w:hAnsi="Consolas"/>
          <w:sz w:val="19"/>
        </w:rPr>
        <w:t xml:space="preserve"> *           - z_dyn   : 本次量得之 ΔV/ΔI，單位 Ω</w:t>
      </w:r>
    </w:p>
    <w:p>
      <w:pPr>
        <w:spacing w:lineRule="atLeast" w:line="260" w:before="0" w:after="0"/>
        <w:ind w:left="120"/>
        <w:jc w:val="left"/>
        <w:shd w:val="clear" w:color="auto" w:fill="F2F2F2"/>
      </w:pPr>
      <w:r>
        <w:rPr>
          <w:rFonts w:eastAsia="標楷體" w:ascii="Consolas" w:hAnsi="Consolas"/>
          <w:sz w:val="19"/>
        </w:rPr>
        <w:t xml:space="preserve"> *           - soc_prev: 前一次 SOC（用於分枝選根），範圍 0.0F ~ 1.0F</w:t>
      </w:r>
    </w:p>
    <w:p>
      <w:pPr>
        <w:spacing w:lineRule="atLeast" w:line="260" w:before="0" w:after="0"/>
        <w:ind w:left="120"/>
        <w:jc w:val="left"/>
        <w:shd w:val="clear" w:color="auto" w:fill="F2F2F2"/>
      </w:pPr>
      <w:r>
        <w:rPr>
          <w:rFonts w:eastAsia="標楷體" w:ascii="Consolas" w:hAnsi="Consolas"/>
          <w:sz w:val="19"/>
        </w:rPr>
        <w:t xml:space="preserve"> *         模組靜態狀態：擬合係數 a/b/c、頂點 soc_vertex</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float32_t dynz_estimate_soc(float32_t z_dyn, float32_t soc_prev)</w:t>
      </w:r>
    </w:p>
    <w:p>
      <w:pPr>
        <w:spacing w:lineRule="atLeast" w:line="260" w:before="0" w:after="0"/>
        <w:ind w:left="120"/>
        <w:jc w:val="left"/>
        <w:shd w:val="clear" w:color="auto" w:fill="F2F2F2"/>
      </w:pPr>
      <w:r>
        <w:rPr>
          <w:rFonts w:eastAsia="標楷體" w:ascii="Consolas" w:hAnsi="Consolas"/>
          <w:sz w:val="19"/>
        </w:rPr>
        <w:t>{</w:t>
      </w:r>
    </w:p>
    <w:p>
      <w:pPr>
        <w:spacing w:lineRule="atLeast" w:line="260" w:before="0" w:after="0"/>
        <w:ind w:left="120"/>
        <w:jc w:val="left"/>
        <w:shd w:val="clear" w:color="auto" w:fill="F2F2F2"/>
      </w:pPr>
      <w:r>
        <w:rPr>
          <w:rFonts w:eastAsia="標楷體" w:ascii="Consolas" w:hAnsi="Consolas"/>
          <w:sz w:val="19"/>
        </w:rPr>
        <w:t xml:space="preserve">    // 解 a*SOC^2 + b*SOC + (c - z_dyn) = 0，依 soc_prev 鄰近性選根並夾限</w:t>
      </w:r>
    </w:p>
    <w:p>
      <w:pPr>
        <w:spacing w:lineRule="atLeast" w:line="260" w:before="0" w:after="0"/>
        <w:ind w:left="120"/>
        <w:jc w:val="left"/>
        <w:shd w:val="clear" w:color="auto" w:fill="F2F2F2"/>
      </w:pPr>
      <w:r>
        <w:rPr>
          <w:rFonts w:eastAsia="標楷體" w:ascii="Consolas" w:hAnsi="Consolas"/>
          <w:sz w:val="19"/>
        </w:rPr>
        <w:t xml:space="preserve">    // [待測] 係數 a/b/c 待離線擬合定版後填入 model_set.h</w:t>
      </w:r>
    </w:p>
    <w:p>
      <w:pPr>
        <w:spacing w:lineRule="atLeast" w:line="260" w:before="0" w:after="0"/>
        <w:ind w:left="120"/>
        <w:jc w:val="left"/>
        <w:shd w:val="clear" w:color="auto" w:fill="F2F2F2"/>
      </w:pPr>
      <w:r>
        <w:rPr>
          <w:rFonts w:eastAsia="標楷體" w:ascii="Consolas" w:hAnsi="Consolas"/>
          <w:sz w:val="19"/>
        </w:rPr>
        <w:t xml:space="preserve">    return soc_prev; // 佔位</w:t>
      </w:r>
    </w:p>
    <w:p>
      <w:pPr>
        <w:spacing w:lineRule="atLeast" w:line="260" w:before="0" w:after="120"/>
        <w:ind w:left="120"/>
        <w:jc w:val="left"/>
        <w:shd w:val="clear" w:color="auto" w:fill="F2F2F2"/>
      </w:pPr>
      <w:r>
        <w:rPr>
          <w:rFonts w:eastAsia="標楷體" w:ascii="Consolas" w:hAnsi="Consolas"/>
          <w:sz w:val="19"/>
        </w:rPr>
        <w:t>}</w:t>
      </w:r>
    </w:p>
    <w:p>
      <w:pPr>
        <w:spacing w:lineRule="atLeast" w:line="480"/>
        <w:ind w:firstLine="480"/>
        <w:jc w:val="both"/>
      </w:pPr>
      <w:r>
        <w:rPr>
          <w:rFonts w:eastAsia="標楷體" w:ascii="Times New Roman" w:hAnsi="Times New Roman"/>
          <w:b/>
          <w:i w:val="0"/>
          <w:sz w:val="24"/>
        </w:rPr>
        <w:t>實驗結果</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下列產物待對 </w:t>
      </w:r>
      <w:r>
        <w:rPr>
          <w:rFonts w:eastAsia="標楷體" w:ascii="Consolas" w:hAnsi="Consolas"/>
          <w:b w:val="0"/>
          <w:i w:val="0"/>
          <w:sz w:val="21"/>
        </w:rPr>
        <w:t>round001</w:t>
      </w:r>
      <w:r>
        <w:rPr>
          <w:rFonts w:eastAsia="標楷體" w:ascii="Times New Roman" w:hAnsi="Times New Roman"/>
          <w:b w:val="0"/>
          <w:i w:val="0"/>
          <w:sz w:val="24"/>
        </w:rPr>
        <w:t>–</w:t>
      </w:r>
      <w:r>
        <w:rPr>
          <w:rFonts w:eastAsia="標楷體" w:ascii="Consolas" w:hAnsi="Consolas"/>
          <w:b w:val="0"/>
          <w:i w:val="0"/>
          <w:sz w:val="21"/>
        </w:rPr>
        <w:t>round023</w:t>
      </w:r>
      <w:r>
        <w:rPr>
          <w:rFonts w:eastAsia="標楷體" w:ascii="Times New Roman" w:hAnsi="Times New Roman"/>
          <w:b w:val="0"/>
          <w:i w:val="0"/>
          <w:sz w:val="24"/>
        </w:rPr>
        <w:t xml:space="preserve"> 放電 CSV 之擾動段做系統性萃取後取得：</w:t>
      </w:r>
    </w:p>
    <w:p>
      <w:pPr>
        <w:spacing w:lineRule="atLeast" w:line="480"/>
        <w:ind w:left="480" w:hanging="240"/>
        <w:jc w:val="both"/>
      </w:pPr>
      <w:r>
        <w:rPr>
          <w:rFonts w:eastAsia="標楷體" w:ascii="Times New Roman" w:hAnsi="Times New Roman"/>
          <w:b w:val="0"/>
          <w:i w:val="0"/>
          <w:sz w:val="24"/>
        </w:rPr>
        <w:t xml:space="preserve">‧ </w:t>
      </w:r>
      <w:r>
        <w:rPr>
          <w:rFonts w:eastAsia="標楷體" w:ascii="Consolas" w:hAnsi="Consolas"/>
          <w:b w:val="0"/>
          <w:i w:val="0"/>
          <w:sz w:val="21"/>
        </w:rPr>
        <w:t>[待測]</w:t>
      </w:r>
      <w:r>
        <w:rPr>
          <w:rFonts w:eastAsia="標楷體" w:ascii="Times New Roman" w:hAnsi="Times New Roman"/>
          <w:b w:val="0"/>
          <w:i w:val="0"/>
          <w:sz w:val="24"/>
        </w:rPr>
        <w:t xml:space="preserve"> </w:t>
      </w:r>
      <w:r>
        <w:rPr>
          <w:rFonts w:eastAsia="標楷體" w:ascii="Times New Roman" w:hAnsi="Times New Roman"/>
          <w:b w:val="0"/>
          <w:i w:val="0"/>
          <w:sz w:val="24"/>
        </w:rPr>
        <w:t>Δ V/Δ I</w:t>
      </w:r>
      <w:r>
        <w:rPr>
          <w:rFonts w:eastAsia="標楷體" w:ascii="Times New Roman" w:hAnsi="Times New Roman"/>
          <w:b w:val="0"/>
          <w:i w:val="0"/>
          <w:sz w:val="24"/>
        </w:rPr>
        <w:t xml:space="preserve"> vs SOC 散點與二次擬合係數 </w:t>
      </w:r>
      <w:r>
        <w:rPr>
          <w:rFonts w:eastAsia="標楷體" w:ascii="Times New Roman" w:hAnsi="Times New Roman"/>
          <w:b w:val="0"/>
          <w:i w:val="0"/>
          <w:sz w:val="24"/>
        </w:rPr>
        <w:t>a, b, c</w:t>
      </w:r>
      <w:r>
        <w:rPr>
          <w:rFonts w:eastAsia="標楷體" w:ascii="Times New Roman" w:hAnsi="Times New Roman"/>
          <w:b w:val="0"/>
          <w:i w:val="0"/>
          <w:sz w:val="24"/>
        </w:rPr>
        <w:t>（並比較不同倍率擬合之一致性）。</w:t>
      </w:r>
    </w:p>
    <w:p>
      <w:pPr>
        <w:spacing w:lineRule="atLeast" w:line="480"/>
        <w:ind w:left="480" w:hanging="240"/>
        <w:jc w:val="both"/>
      </w:pPr>
      <w:r>
        <w:rPr>
          <w:rFonts w:eastAsia="標楷體" w:ascii="Times New Roman" w:hAnsi="Times New Roman"/>
          <w:b w:val="0"/>
          <w:i w:val="0"/>
          <w:sz w:val="24"/>
        </w:rPr>
        <w:t xml:space="preserve">‧ </w:t>
      </w:r>
      <w:r>
        <w:rPr>
          <w:rFonts w:eastAsia="標楷體" w:ascii="Consolas" w:hAnsi="Consolas"/>
          <w:b w:val="0"/>
          <w:i w:val="0"/>
          <w:sz w:val="21"/>
        </w:rPr>
        <w:t>[待測]</w:t>
      </w:r>
      <w:r>
        <w:rPr>
          <w:rFonts w:eastAsia="標楷體" w:ascii="Times New Roman" w:hAnsi="Times New Roman"/>
          <w:b w:val="0"/>
          <w:i w:val="0"/>
          <w:sz w:val="24"/>
        </w:rPr>
        <w:t xml:space="preserve"> 拋物線頂點位置 </w:t>
      </w:r>
      <w:r>
        <w:rPr>
          <w:rFonts w:eastAsia="標楷體" w:ascii="Times New Roman" w:hAnsi="Times New Roman"/>
          <w:b w:val="0"/>
          <w:i w:val="0"/>
          <w:sz w:val="24"/>
        </w:rPr>
        <w:t>SOC^*</w:t>
      </w:r>
      <w:r>
        <w:rPr>
          <w:rFonts w:eastAsia="標楷體" w:ascii="Times New Roman" w:hAnsi="Times New Roman"/>
          <w:b w:val="0"/>
          <w:i w:val="0"/>
          <w:sz w:val="24"/>
        </w:rPr>
        <w:t xml:space="preserve"> 與 Lin 2016 之 ~50% 對照。</w:t>
      </w:r>
    </w:p>
    <w:p>
      <w:pPr>
        <w:spacing w:lineRule="atLeast" w:line="480"/>
        <w:ind w:left="480" w:hanging="240"/>
        <w:jc w:val="both"/>
      </w:pPr>
      <w:r>
        <w:rPr>
          <w:rFonts w:eastAsia="標楷體" w:ascii="Times New Roman" w:hAnsi="Times New Roman"/>
          <w:b w:val="0"/>
          <w:i w:val="0"/>
          <w:sz w:val="24"/>
        </w:rPr>
        <w:t xml:space="preserve">‧ </w:t>
      </w:r>
      <w:r>
        <w:rPr>
          <w:rFonts w:eastAsia="標楷體" w:ascii="Consolas" w:hAnsi="Consolas"/>
          <w:b w:val="0"/>
          <w:i w:val="0"/>
          <w:sz w:val="21"/>
        </w:rPr>
        <w:t>[待測]</w:t>
      </w:r>
      <w:r>
        <w:rPr>
          <w:rFonts w:eastAsia="標楷體" w:ascii="Times New Roman" w:hAnsi="Times New Roman"/>
          <w:b w:val="0"/>
          <w:i w:val="0"/>
          <w:sz w:val="24"/>
        </w:rPr>
        <w:t xml:space="preserve"> 動態阻抗法各倍率 RMSE／MAE／</w:t>
      </w:r>
      <w:r>
        <w:rPr>
          <w:rFonts w:eastAsia="標楷體" w:ascii="Times New Roman" w:hAnsi="Times New Roman"/>
          <w:b w:val="0"/>
          <w:i w:val="0"/>
          <w:sz w:val="24"/>
        </w:rPr>
        <w:t>e_max</w:t>
      </w:r>
      <w:r>
        <w:rPr>
          <w:rFonts w:eastAsia="標楷體" w:ascii="Times New Roman" w:hAnsi="Times New Roman"/>
          <w:b w:val="0"/>
          <w:i w:val="0"/>
          <w:sz w:val="24"/>
        </w:rPr>
        <w:t>（僅於擾動事件處評估，事件間庫倫內插）。</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0"/>
        <w:gridCol w:w="1200"/>
        <w:gridCol w:w="1200"/>
        <w:gridCol w:w="1200"/>
        <w:gridCol w:w="1600"/>
        <w:gridCol w:w="2600"/>
      </w:tblGrid>
      <w:tr>
        <w:tc>
          <w:tcPr>
            <w:tcW w:type="dxa" w:w="800"/>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200"/>
            <w:shd w:val="clear" w:color="auto" w:fill="D9E2F3"/>
            <w:vAlign w:val="center"/>
          </w:tcPr>
          <w:p>
            <w:pPr>
              <w:spacing w:before="20" w:after="20" w:lineRule="atLeast" w:line="280"/>
              <w:jc w:val="center"/>
            </w:pPr>
            <w:r>
              <w:rPr>
                <w:rFonts w:eastAsia="標楷體" w:ascii="Times New Roman" w:hAnsi="Times New Roman"/>
                <w:b/>
                <w:i w:val="0"/>
                <w:sz w:val="21"/>
              </w:rPr>
              <w:t xml:space="preserve">擬合 </w:t>
            </w:r>
            <w:r>
              <w:rPr>
                <w:rFonts w:eastAsia="標楷體" w:ascii="Times New Roman" w:hAnsi="Times New Roman"/>
                <w:b w:val="0"/>
                <w:i w:val="0"/>
                <w:sz w:val="21"/>
              </w:rPr>
              <w:t>a</w:t>
            </w:r>
          </w:p>
        </w:tc>
        <w:tc>
          <w:tcPr>
            <w:tcW w:type="dxa" w:w="1200"/>
            <w:shd w:val="clear" w:color="auto" w:fill="D9E2F3"/>
            <w:vAlign w:val="center"/>
          </w:tcPr>
          <w:p>
            <w:pPr>
              <w:spacing w:before="20" w:after="20" w:lineRule="atLeast" w:line="280"/>
              <w:jc w:val="center"/>
            </w:pPr>
            <w:r>
              <w:rPr>
                <w:rFonts w:eastAsia="標楷體" w:ascii="Times New Roman" w:hAnsi="Times New Roman"/>
                <w:b/>
                <w:i w:val="0"/>
                <w:sz w:val="21"/>
              </w:rPr>
              <w:t xml:space="preserve">擬合 </w:t>
            </w:r>
            <w:r>
              <w:rPr>
                <w:rFonts w:eastAsia="標楷體" w:ascii="Times New Roman" w:hAnsi="Times New Roman"/>
                <w:b w:val="0"/>
                <w:i w:val="0"/>
                <w:sz w:val="21"/>
              </w:rPr>
              <w:t>b</w:t>
            </w:r>
          </w:p>
        </w:tc>
        <w:tc>
          <w:tcPr>
            <w:tcW w:type="dxa" w:w="1200"/>
            <w:shd w:val="clear" w:color="auto" w:fill="D9E2F3"/>
            <w:vAlign w:val="center"/>
          </w:tcPr>
          <w:p>
            <w:pPr>
              <w:spacing w:before="20" w:after="20" w:lineRule="atLeast" w:line="280"/>
              <w:jc w:val="center"/>
            </w:pPr>
            <w:r>
              <w:rPr>
                <w:rFonts w:eastAsia="標楷體" w:ascii="Times New Roman" w:hAnsi="Times New Roman"/>
                <w:b/>
                <w:i w:val="0"/>
                <w:sz w:val="21"/>
              </w:rPr>
              <w:t xml:space="preserve">擬合 </w:t>
            </w:r>
            <w:r>
              <w:rPr>
                <w:rFonts w:eastAsia="標楷體" w:ascii="Times New Roman" w:hAnsi="Times New Roman"/>
                <w:b w:val="0"/>
                <w:i w:val="0"/>
                <w:sz w:val="21"/>
              </w:rPr>
              <w:t>c</w:t>
            </w:r>
          </w:p>
        </w:tc>
        <w:tc>
          <w:tcPr>
            <w:tcW w:type="dxa" w:w="1600"/>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2600"/>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r>
      <w:tr>
        <w:tc>
          <w:tcPr>
            <w:tcW w:type="dxa" w:w="800"/>
            <w:vAlign w:val="center"/>
          </w:tcPr>
          <w:p>
            <w:pPr>
              <w:spacing w:before="20" w:after="20" w:lineRule="atLeast" w:line="280"/>
              <w:jc w:val="right"/>
            </w:pPr>
            <w:r>
              <w:rPr>
                <w:rFonts w:eastAsia="標楷體" w:ascii="Times New Roman" w:hAnsi="Times New Roman"/>
                <w:b w:val="0"/>
                <w:i w:val="0"/>
                <w:sz w:val="21"/>
              </w:rPr>
              <w:t>0.5C</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0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00"/>
            <w:vAlign w:val="center"/>
          </w:tcPr>
          <w:p>
            <w:pPr>
              <w:spacing w:before="20" w:after="20" w:lineRule="atLeast" w:line="280"/>
              <w:jc w:val="right"/>
            </w:pPr>
            <w:r>
              <w:rPr>
                <w:rFonts w:eastAsia="標楷體" w:ascii="Times New Roman" w:hAnsi="Times New Roman"/>
                <w:b w:val="0"/>
                <w:i w:val="0"/>
                <w:sz w:val="21"/>
              </w:rPr>
              <w:t>1.0C</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0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00"/>
            <w:vAlign w:val="center"/>
          </w:tcPr>
          <w:p>
            <w:pPr>
              <w:spacing w:before="20" w:after="20" w:lineRule="atLeast" w:line="280"/>
              <w:jc w:val="right"/>
            </w:pPr>
            <w:r>
              <w:rPr>
                <w:rFonts w:eastAsia="標楷體" w:ascii="Times New Roman" w:hAnsi="Times New Roman"/>
                <w:b w:val="0"/>
                <w:i w:val="0"/>
                <w:sz w:val="21"/>
              </w:rPr>
              <w:t>1.5C</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0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00"/>
            <w:vAlign w:val="center"/>
          </w:tcPr>
          <w:p>
            <w:pPr>
              <w:spacing w:before="20" w:after="20" w:lineRule="atLeast" w:line="280"/>
              <w:jc w:val="right"/>
            </w:pPr>
            <w:r>
              <w:rPr>
                <w:rFonts w:eastAsia="標楷體" w:ascii="Times New Roman" w:hAnsi="Times New Roman"/>
                <w:b w:val="0"/>
                <w:i w:val="0"/>
                <w:sz w:val="21"/>
              </w:rPr>
              <w:t>2.0C</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0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00"/>
            <w:vAlign w:val="center"/>
          </w:tcPr>
          <w:p>
            <w:pPr>
              <w:spacing w:before="20" w:after="20" w:lineRule="atLeast" w:line="280"/>
              <w:jc w:val="righ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動態阻抗法各倍率擬合係數與精度（待離線萃取／韌體化後填入）</w:t>
      </w:r>
    </w:p>
    <w:p>
      <w:pPr>
        <w:spacing w:before="240" w:after="120" w:lineRule="atLeast" w:line="360"/>
        <w:jc w:val="left"/>
      </w:pPr>
      <w:r>
        <w:rPr>
          <w:rFonts w:eastAsia="標楷體" w:ascii="Times New Roman" w:hAnsi="Times New Roman"/>
          <w:b/>
          <w:i w:val="0"/>
          <w:sz w:val="28"/>
        </w:rPr>
        <w:t>4.4 方法比較（本章高潮）</w:t>
      </w:r>
    </w:p>
    <w:p>
      <w:pPr>
        <w:spacing w:lineRule="atLeast" w:line="320" w:before="40" w:after="40"/>
        <w:ind w:left="360"/>
        <w:jc w:val="left"/>
      </w:pPr>
      <w:r>
        <w:rPr>
          <w:rFonts w:eastAsia="標楷體" w:ascii="Times New Roman" w:hAnsi="Times New Roman"/>
          <w:b w:val="0"/>
          <w:i/>
          <w:color w:val="606060"/>
          <w:sz w:val="21"/>
        </w:rPr>
        <w:t>本節為三法之公平比較。比較框架、指標定義與表骨架為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；填入之數值除庫倫計數既有資料外多為 </w:t>
      </w:r>
      <w:r>
        <w:rPr>
          <w:rFonts w:eastAsia="標楷體" w:ascii="Consolas" w:hAnsi="Consolas"/>
          <w:b w:val="0"/>
          <w:i/>
          <w:color w:val="606060"/>
          <w:sz w:val="19"/>
        </w:rPr>
        <w:t>[待測]</w:t>
      </w:r>
      <w:r>
        <w:rPr>
          <w:rFonts w:eastAsia="標楷體" w:ascii="Times New Roman" w:hAnsi="Times New Roman"/>
          <w:b w:val="0"/>
          <w:i/>
          <w:color w:val="606060"/>
          <w:sz w:val="21"/>
        </w:rPr>
        <w:t>，待 4.2／4.3 實驗與 footprint 量測完成後補齊。比較之公平性由「同電池、同協定、同 MCU、同量測路徑」保證（第三章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b w:val="0"/>
          <w:i w:val="0"/>
          <w:sz w:val="24"/>
        </w:rPr>
        <w:t>於同一組放電 cycle 上，以 4.0 節框架對三法計算精度指標。庫倫計數因即時無修正，於單 cycle 內若初值正確則精度最高（其本即真值錨點）；EKF 之價值在初值錯誤與長期運行下的穩健；動態阻抗之精度受擾動 SNR 與拋物線在頂點附近平緩（靈敏度低）影響。</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127"/>
        <w:gridCol w:w="986"/>
        <w:gridCol w:w="1832"/>
        <w:gridCol w:w="1409"/>
        <w:gridCol w:w="2646"/>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127"/>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986"/>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832"/>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409"/>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c>
          <w:tcPr>
            <w:tcW w:type="dxa" w:w="26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00"/>
            <w:vAlign w:val="center"/>
          </w:tcPr>
          <w:p>
            <w:pPr>
              <w:spacing w:before="20" w:after="20" w:lineRule="atLeast" w:line="280"/>
              <w:jc w:val="left"/>
            </w:pPr>
            <w:r>
              <w:rPr>
                <w:rFonts w:eastAsia="標楷體" w:ascii="Times New Roman" w:hAnsi="Times New Roman"/>
                <w:b w:val="0"/>
                <w:i w:val="0"/>
                <w:sz w:val="21"/>
              </w:rPr>
              <w:t>庫倫計數</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val="0"/>
                <w:i w:val="0"/>
                <w:sz w:val="21"/>
              </w:rPr>
              <w:t>N/A（無收斂機制）</w:t>
            </w:r>
          </w:p>
        </w:tc>
        <w:tc>
          <w:tcPr>
            <w:tcW w:type="dxa" w:w="2646"/>
            <w:vAlign w:val="center"/>
          </w:tcPr>
          <w:p>
            <w:pPr>
              <w:spacing w:before="20" w:after="20" w:lineRule="atLeast" w:line="280"/>
              <w:jc w:val="left"/>
            </w:pPr>
            <w:r>
              <w:rPr>
                <w:rFonts w:eastAsia="標楷體" w:ascii="Times New Roman" w:hAnsi="Times New Roman"/>
                <w:b w:val="0"/>
                <w:i w:val="0"/>
                <w:sz w:val="21"/>
              </w:rPr>
              <w:t>初值正確時單 cycle 內為對照基準</w:t>
            </w:r>
          </w:p>
        </w:tc>
      </w:tr>
      <w:tr>
        <w:tc>
          <w:tcPr>
            <w:tcW w:type="dxa" w:w="600"/>
            <w:vAlign w:val="center"/>
          </w:tcPr>
          <w:p>
            <w:pPr>
              <w:spacing w:before="20" w:after="20" w:lineRule="atLeast" w:line="280"/>
              <w:jc w:val="left"/>
            </w:pPr>
            <w:r>
              <w:rPr>
                <w:rFonts w:eastAsia="標楷體" w:ascii="Times New Roman" w:hAnsi="Times New Roman"/>
                <w:b w:val="0"/>
                <w:i w:val="0"/>
                <w:sz w:val="21"/>
              </w:rPr>
              <w:t>EKF</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46"/>
            <w:vAlign w:val="center"/>
          </w:tcPr>
          <w:p>
            <w:pPr>
              <w:spacing w:before="20" w:after="20" w:lineRule="atLeast" w:line="280"/>
              <w:jc w:val="left"/>
            </w:pPr>
            <w:r>
              <w:rPr>
                <w:rFonts w:eastAsia="標楷體" w:ascii="Times New Roman" w:hAnsi="Times New Roman"/>
                <w:b w:val="0"/>
                <w:i w:val="0"/>
                <w:sz w:val="21"/>
              </w:rPr>
              <w:t>可自初值錯誤收斂</w:t>
            </w:r>
          </w:p>
        </w:tc>
      </w:tr>
      <w:tr>
        <w:tc>
          <w:tcPr>
            <w:tcW w:type="dxa" w:w="600"/>
            <w:vAlign w:val="center"/>
          </w:tcPr>
          <w:p>
            <w:pPr>
              <w:spacing w:before="20" w:after="20" w:lineRule="atLeast" w:line="280"/>
              <w:jc w:val="left"/>
            </w:pPr>
            <w:r>
              <w:rPr>
                <w:rFonts w:eastAsia="標楷體" w:ascii="Times New Roman" w:hAnsi="Times New Roman"/>
                <w:b w:val="0"/>
                <w:i w:val="0"/>
                <w:sz w:val="21"/>
              </w:rPr>
              <w:t>動態阻抗</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46"/>
            <w:vAlign w:val="center"/>
          </w:tcPr>
          <w:p>
            <w:pPr>
              <w:spacing w:before="20" w:after="20" w:lineRule="atLeast" w:line="280"/>
              <w:jc w:val="left"/>
            </w:pPr>
            <w:r>
              <w:rPr>
                <w:rFonts w:eastAsia="標楷體" w:ascii="Times New Roman" w:hAnsi="Times New Roman"/>
                <w:b w:val="0"/>
                <w:i w:val="0"/>
                <w:sz w:val="21"/>
              </w:rPr>
              <w:t>僅擾動事件處估測，事件間庫倫內插</w:t>
            </w:r>
          </w:p>
        </w:tc>
      </w:tr>
    </w:tbl>
    <w:p>
      <w:pPr>
        <w:spacing w:before="60" w:after="160" w:lineRule="atLeast" w:line="320"/>
        <w:jc w:val="center"/>
      </w:pPr>
      <w:r>
        <w:rPr>
          <w:rFonts w:eastAsia="標楷體" w:ascii="Times New Roman" w:hAnsi="Times New Roman"/>
          <w:b/>
          <w:i w:val="0"/>
          <w:sz w:val="22"/>
        </w:rPr>
        <w:t>表 4-4</w:t>
      </w:r>
      <w:r>
        <w:rPr>
          <w:rFonts w:eastAsia="標楷體" w:ascii="Times New Roman" w:hAnsi="Times New Roman"/>
          <w:b w:val="0"/>
          <w:i w:val="0"/>
          <w:sz w:val="22"/>
        </w:rPr>
        <w:t xml:space="preserve">　三法標稱工況精度比較（待實驗填入）</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b w:val="0"/>
          <w:i w:val="0"/>
          <w:sz w:val="24"/>
        </w:rPr>
        <w:t xml:space="preserve">三項壓力測試（皆 </w:t>
      </w:r>
      <w:r>
        <w:rPr>
          <w:rFonts w:eastAsia="標楷體" w:ascii="Consolas" w:hAnsi="Consolas"/>
          <w:b w:val="0"/>
          <w:i w:val="0"/>
          <w:sz w:val="21"/>
        </w:rPr>
        <w:t>[待測]</w:t>
      </w:r>
      <w:r>
        <w:rPr>
          <w:rFonts w:eastAsia="標楷體" w:ascii="Times New Roman" w:hAnsi="Times New Roman"/>
          <w:b w:val="0"/>
          <w:i w:val="0"/>
          <w:sz w:val="24"/>
        </w:rPr>
        <w:t>，待 EKF／動態阻抗實作後於 PC 與 MCU 上施測）：</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初值錯誤恢復</w:t>
      </w:r>
      <w:r>
        <w:rPr>
          <w:rFonts w:eastAsia="標楷體" w:ascii="Times New Roman" w:hAnsi="Times New Roman"/>
          <w:b w:val="0"/>
          <w:i w:val="0"/>
          <w:sz w:val="24"/>
        </w:rPr>
        <w:t xml:space="preserve">：初值偏移 </w:t>
      </w:r>
      <w:r>
        <w:rPr>
          <w:rFonts w:eastAsia="標楷體" w:ascii="Times New Roman" w:hAnsi="Times New Roman"/>
          <w:b w:val="0"/>
          <w:i w:val="0"/>
          <w:sz w:val="24"/>
        </w:rPr>
        <w:t>± 20%</w:t>
      </w:r>
      <w:r>
        <w:rPr>
          <w:rFonts w:eastAsia="標楷體" w:ascii="Times New Roman" w:hAnsi="Times New Roman"/>
          <w:b w:val="0"/>
          <w:i w:val="0"/>
          <w:sz w:val="24"/>
        </w:rPr>
        <w:t>。預期庫倫計數誤差永久不收斂（無修正機制）、EKF 於數十秒至數分鐘內收斂、動態阻抗於首個擾動事件即可獨立重估（理論上最快擺脫錯誤初值）。</w:t>
      </w:r>
      <w:r>
        <w:rPr>
          <w:rFonts w:eastAsia="標楷體" w:ascii="Consolas" w:hAnsi="Consolas"/>
          <w:b w:val="0"/>
          <w:i w:val="0"/>
          <w:sz w:val="21"/>
        </w:rPr>
        <w:t>[待測]</w:t>
      </w:r>
      <w:r>
        <w:rPr>
          <w:rFonts w:eastAsia="標楷體" w:ascii="Times New Roman" w:hAnsi="Times New Roman"/>
          <w:b w:val="0"/>
          <w:i w:val="0"/>
          <w:sz w:val="24"/>
        </w:rPr>
        <w:t xml:space="preserve"> 各法 </w:t>
      </w:r>
      <w:r>
        <w:rPr>
          <w:rFonts w:eastAsia="標楷體" w:ascii="Times New Roman" w:hAnsi="Times New Roman"/>
          <w:b w:val="0"/>
          <w:i w:val="0"/>
          <w:sz w:val="24"/>
        </w:rPr>
        <w:t>t_conv</w:t>
      </w:r>
      <w:r>
        <w:rPr>
          <w:rFonts w:eastAsia="標楷體" w:ascii="Times New Roman" w:hAnsi="Times New Roman"/>
          <w:b w:val="0"/>
          <w:i w:val="0"/>
          <w:sz w:val="24"/>
        </w:rPr>
        <w:t xml:space="preserve"> 與穩態誤差。</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C-rate 切換</w:t>
      </w:r>
      <w:r>
        <w:rPr>
          <w:rFonts w:eastAsia="標楷體" w:ascii="Times New Roman" w:hAnsi="Times New Roman"/>
          <w:b w:val="0"/>
          <w:i w:val="0"/>
          <w:sz w:val="24"/>
        </w:rPr>
        <w:t xml:space="preserve">：於放電中切換倍率，觀察誤差尖峰。預期 EKF 因 RC 模型可吸收暫態、動態阻抗於切換瞬間 </w:t>
      </w:r>
      <w:r>
        <w:rPr>
          <w:rFonts w:eastAsia="標楷體" w:ascii="Times New Roman" w:hAnsi="Times New Roman"/>
          <w:b w:val="0"/>
          <w:i w:val="0"/>
          <w:sz w:val="24"/>
        </w:rPr>
        <w:t>Δ I</w:t>
      </w:r>
      <w:r>
        <w:rPr>
          <w:rFonts w:eastAsia="標楷體" w:ascii="Times New Roman" w:hAnsi="Times New Roman"/>
          <w:b w:val="0"/>
          <w:i w:val="0"/>
          <w:sz w:val="24"/>
        </w:rPr>
        <w:t xml:space="preserve"> 異常需剔除該事件。</w:t>
      </w:r>
      <w:r>
        <w:rPr>
          <w:rFonts w:eastAsia="標楷體" w:ascii="Consolas" w:hAnsi="Consolas"/>
          <w:b w:val="0"/>
          <w:i w:val="0"/>
          <w:sz w:val="21"/>
        </w:rPr>
        <w:t>[待測]</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噪聲抗性</w:t>
      </w:r>
      <w:r>
        <w:rPr>
          <w:rFonts w:eastAsia="標楷體" w:ascii="Times New Roman" w:hAnsi="Times New Roman"/>
          <w:b w:val="0"/>
          <w:i w:val="0"/>
          <w:sz w:val="24"/>
        </w:rPr>
        <w:t xml:space="preserve">：人為注入電流／電壓量測噪聲，比較三法 SOC 抖動。預期 EKF 因 </w:t>
      </w:r>
      <w:r>
        <w:rPr>
          <w:rFonts w:eastAsia="標楷體" w:ascii="Times New Roman" w:hAnsi="Times New Roman"/>
          <w:b w:val="0"/>
          <w:i w:val="0"/>
          <w:sz w:val="24"/>
        </w:rPr>
        <w:t>Q/R</w:t>
      </w:r>
      <w:r>
        <w:rPr>
          <w:rFonts w:eastAsia="標楷體" w:ascii="Times New Roman" w:hAnsi="Times New Roman"/>
          <w:b w:val="0"/>
          <w:i w:val="0"/>
          <w:sz w:val="24"/>
        </w:rPr>
        <w:t xml:space="preserve"> 濾波最穩、庫倫計數對電流噪聲積分平均、動態阻抗對單點差分噪聲最敏感。</w:t>
      </w:r>
      <w:r>
        <w:rPr>
          <w:rFonts w:eastAsia="標楷體" w:ascii="Consolas" w:hAnsi="Consolas"/>
          <w:b w:val="0"/>
          <w:i w:val="0"/>
          <w:sz w:val="21"/>
        </w:rPr>
        <w:t>[待測]</w:t>
      </w:r>
      <w:r>
        <w:rPr>
          <w:rFonts w:eastAsia="標楷體" w:ascii="Times New Roman" w:hAnsi="Times New Roman"/>
          <w:b w:val="0"/>
          <w:i w:val="0"/>
          <w:sz w:val="24"/>
        </w:rPr>
        <w: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b w:val="0"/>
                <w:i w:val="0"/>
                <w:sz w:val="21"/>
              </w:rPr>
              <w:t xml:space="preserve">初值 </w:t>
            </w:r>
            <w:r>
              <w:rPr>
                <w:rFonts w:eastAsia="標楷體" w:ascii="Times New Roman" w:hAnsi="Times New Roman"/>
                <w:b w:val="0"/>
                <w:i w:val="0"/>
                <w:sz w:val="21"/>
              </w:rPr>
              <w:t>-20%</w:t>
            </w:r>
            <w:r>
              <w:rPr>
                <w:rFonts w:eastAsia="標楷體" w:ascii="Times New Roman" w:hAnsi="Times New Roman"/>
                <w:b w:val="0"/>
                <w:i w:val="0"/>
                <w:sz w:val="21"/>
              </w:rPr>
              <w:t xml:space="preserve"> 恢復</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C-rate 切換尖峰</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4-5</w:t>
      </w:r>
      <w:r>
        <w:rPr>
          <w:rFonts w:eastAsia="標楷體" w:ascii="Times New Roman" w:hAnsi="Times New Roman"/>
          <w:b w:val="0"/>
          <w:i w:val="0"/>
          <w:sz w:val="22"/>
        </w:rPr>
        <w:t xml:space="preserve">　三法強健性比較（待實驗填入）</w:t>
      </w:r>
    </w:p>
    <w:p>
      <w:pPr>
        <w:spacing w:before="160" w:after="80" w:lineRule="atLeast" w:line="360"/>
        <w:jc w:val="left"/>
      </w:pPr>
      <w:r>
        <w:rPr>
          <w:rFonts w:eastAsia="標楷體" w:ascii="Times New Roman" w:hAnsi="Times New Roman"/>
          <w:b/>
          <w:i w:val="0"/>
          <w:sz w:val="26"/>
        </w:rPr>
        <w:t>4.4.3 嵌入式 footprint 比較（核心貢獻）</w:t>
      </w:r>
    </w:p>
    <w:p>
      <w:pPr>
        <w:spacing w:lineRule="atLeast" w:line="480"/>
        <w:ind w:firstLine="480"/>
        <w:jc w:val="both"/>
      </w:pPr>
      <w:r>
        <w:rPr>
          <w:rFonts w:eastAsia="標楷體" w:ascii="Times New Roman" w:hAnsi="Times New Roman"/>
          <w:b w:val="0"/>
          <w:i w:val="0"/>
          <w:sz w:val="24"/>
        </w:rPr>
        <w:t>本表為論文核心貢獻之一：同一 STM32G071、同一編譯器與最佳化等級（</w:t>
      </w:r>
      <w:r>
        <w:rPr>
          <w:rFonts w:eastAsia="標楷體" w:ascii="Consolas" w:hAnsi="Consolas"/>
          <w:b w:val="0"/>
          <w:i w:val="0"/>
          <w:sz w:val="21"/>
        </w:rPr>
        <w:t>-Og</w:t>
      </w:r>
      <w:r>
        <w:rPr>
          <w:rFonts w:eastAsia="標楷體" w:ascii="Times New Roman" w:hAnsi="Times New Roman"/>
          <w:b w:val="0"/>
          <w:i w:val="0"/>
          <w:sz w:val="24"/>
        </w:rPr>
        <w:t>／</w:t>
      </w:r>
      <w:r>
        <w:rPr>
          <w:rFonts w:eastAsia="標楷體" w:ascii="Consolas" w:hAnsi="Consolas"/>
          <w:b w:val="0"/>
          <w:i w:val="0"/>
          <w:sz w:val="21"/>
        </w:rPr>
        <w:t>-O2</w:t>
      </w:r>
      <w:r>
        <w:rPr>
          <w:rFonts w:eastAsia="標楷體" w:ascii="Times New Roman" w:hAnsi="Times New Roman"/>
          <w:b w:val="0"/>
          <w:i w:val="0"/>
          <w:sz w:val="24"/>
        </w:rPr>
        <w:t xml:space="preserve"> 各量一次）、同一量測路徑下，三法的 Flash／RAM 淨增量與每次更新 CPU 週期。量測方法為：分別編譯「僅骨架」與「骨架 + 各方法模組」，取 </w:t>
      </w:r>
      <w:r>
        <w:rPr>
          <w:rFonts w:eastAsia="標楷體" w:ascii="Consolas" w:hAnsi="Consolas"/>
          <w:b w:val="0"/>
          <w:i w:val="0"/>
          <w:sz w:val="21"/>
        </w:rPr>
        <w:t>.map</w:t>
      </w:r>
      <w:r>
        <w:rPr>
          <w:rFonts w:eastAsia="標楷體" w:ascii="Times New Roman" w:hAnsi="Times New Roman"/>
          <w:b w:val="0"/>
          <w:i w:val="0"/>
          <w:sz w:val="24"/>
        </w:rPr>
        <w:t xml:space="preserve"> 之 Flash／RAM 差值為淨佔用；CPU 週期以 DWT cycle counter 包夾單次 </w:t>
      </w:r>
      <w:r>
        <w:rPr>
          <w:rFonts w:eastAsia="標楷體" w:ascii="Consolas" w:hAnsi="Consolas"/>
          <w:b w:val="0"/>
          <w:i w:val="0"/>
          <w:sz w:val="21"/>
        </w:rPr>
        <w:t>*_update()</w:t>
      </w:r>
      <w:r>
        <w:rPr>
          <w:rFonts w:eastAsia="標楷體" w:ascii="Times New Roman" w:hAnsi="Times New Roman"/>
          <w:b w:val="0"/>
          <w:i w:val="0"/>
          <w:sz w:val="24"/>
        </w:rPr>
        <w:t xml:space="preserve"> 量測（多次取中位數）。</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397"/>
        <w:gridCol w:w="1182"/>
        <w:gridCol w:w="1827"/>
        <w:gridCol w:w="1075"/>
        <w:gridCol w:w="2519"/>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397"/>
            <w:shd w:val="clear" w:color="auto" w:fill="D9E2F3"/>
            <w:vAlign w:val="center"/>
          </w:tcPr>
          <w:p>
            <w:pPr>
              <w:spacing w:before="20" w:after="20" w:lineRule="atLeast" w:line="280"/>
              <w:jc w:val="center"/>
            </w:pPr>
            <w:r>
              <w:rPr>
                <w:rFonts w:eastAsia="標楷體" w:ascii="Times New Roman" w:hAnsi="Times New Roman"/>
                <w:b/>
                <w:i w:val="0"/>
                <w:sz w:val="21"/>
              </w:rPr>
              <w:t>Flash (bytes)</w:t>
            </w:r>
          </w:p>
        </w:tc>
        <w:tc>
          <w:tcPr>
            <w:tcW w:type="dxa" w:w="1182"/>
            <w:shd w:val="clear" w:color="auto" w:fill="D9E2F3"/>
            <w:vAlign w:val="center"/>
          </w:tcPr>
          <w:p>
            <w:pPr>
              <w:spacing w:before="20" w:after="20" w:lineRule="atLeast" w:line="280"/>
              <w:jc w:val="center"/>
            </w:pPr>
            <w:r>
              <w:rPr>
                <w:rFonts w:eastAsia="標楷體" w:ascii="Times New Roman" w:hAnsi="Times New Roman"/>
                <w:b/>
                <w:i w:val="0"/>
                <w:sz w:val="21"/>
              </w:rPr>
              <w:t>RAM (bytes)</w:t>
            </w:r>
          </w:p>
        </w:tc>
        <w:tc>
          <w:tcPr>
            <w:tcW w:type="dxa" w:w="1827"/>
            <w:shd w:val="clear" w:color="auto" w:fill="D9E2F3"/>
            <w:vAlign w:val="center"/>
          </w:tcPr>
          <w:p>
            <w:pPr>
              <w:spacing w:before="20" w:after="20" w:lineRule="atLeast" w:line="280"/>
              <w:jc w:val="center"/>
            </w:pPr>
            <w:r>
              <w:rPr>
                <w:rFonts w:eastAsia="標楷體" w:ascii="Times New Roman" w:hAnsi="Times New Roman"/>
                <w:b/>
                <w:i w:val="0"/>
                <w:sz w:val="21"/>
              </w:rPr>
              <w:t>CPU cycles/update</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浮點運算</w:t>
            </w:r>
          </w:p>
        </w:tc>
        <w:tc>
          <w:tcPr>
            <w:tcW w:type="dxa" w:w="2519"/>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00"/>
            <w:vAlign w:val="center"/>
          </w:tcPr>
          <w:p>
            <w:pPr>
              <w:spacing w:before="20" w:after="20" w:lineRule="atLeast" w:line="280"/>
              <w:jc w:val="left"/>
            </w:pPr>
            <w:r>
              <w:rPr>
                <w:rFonts w:eastAsia="標楷體" w:ascii="Times New Roman" w:hAnsi="Times New Roman"/>
                <w:b w:val="0"/>
                <w:i w:val="0"/>
                <w:sz w:val="21"/>
              </w:rPr>
              <w:t>庫倫計數</w:t>
            </w:r>
          </w:p>
        </w:tc>
        <w:tc>
          <w:tcPr>
            <w:tcW w:type="dxa" w:w="139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8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075"/>
            <w:vAlign w:val="center"/>
          </w:tcPr>
          <w:p>
            <w:pPr>
              <w:spacing w:before="20" w:after="20" w:lineRule="atLeast" w:line="280"/>
              <w:jc w:val="left"/>
            </w:pPr>
            <w:r>
              <w:rPr>
                <w:rFonts w:eastAsia="標楷體" w:ascii="Times New Roman" w:hAnsi="Times New Roman"/>
                <w:b w:val="0"/>
                <w:i w:val="0"/>
                <w:sz w:val="21"/>
              </w:rPr>
              <w:t>否（定點）</w:t>
            </w:r>
          </w:p>
        </w:tc>
        <w:tc>
          <w:tcPr>
            <w:tcW w:type="dxa" w:w="2519"/>
            <w:vAlign w:val="center"/>
          </w:tcPr>
          <w:p>
            <w:pPr>
              <w:spacing w:before="20" w:after="20" w:lineRule="atLeast" w:line="280"/>
              <w:jc w:val="left"/>
            </w:pPr>
            <w:r>
              <w:rPr>
                <w:rFonts w:eastAsia="標楷體" w:ascii="Times New Roman" w:hAnsi="Times New Roman"/>
                <w:b w:val="0"/>
                <w:i w:val="0"/>
                <w:sz w:val="21"/>
              </w:rPr>
              <w:t>資源下界</w:t>
            </w:r>
          </w:p>
        </w:tc>
      </w:tr>
      <w:tr>
        <w:tc>
          <w:tcPr>
            <w:tcW w:type="dxa" w:w="600"/>
            <w:vAlign w:val="center"/>
          </w:tcPr>
          <w:p>
            <w:pPr>
              <w:spacing w:before="20" w:after="20" w:lineRule="atLeast" w:line="280"/>
              <w:jc w:val="left"/>
            </w:pPr>
            <w:r>
              <w:rPr>
                <w:rFonts w:eastAsia="標楷體" w:ascii="Times New Roman" w:hAnsi="Times New Roman"/>
                <w:b w:val="0"/>
                <w:i w:val="0"/>
                <w:sz w:val="21"/>
              </w:rPr>
              <w:t>EKF</w:t>
            </w:r>
          </w:p>
        </w:tc>
        <w:tc>
          <w:tcPr>
            <w:tcW w:type="dxa" w:w="139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8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075"/>
            <w:vAlign w:val="center"/>
          </w:tcPr>
          <w:p>
            <w:pPr>
              <w:spacing w:before="20" w:after="20" w:lineRule="atLeast" w:line="280"/>
              <w:jc w:val="left"/>
            </w:pPr>
            <w:r>
              <w:rPr>
                <w:rFonts w:eastAsia="標楷體" w:ascii="Times New Roman" w:hAnsi="Times New Roman"/>
                <w:b w:val="0"/>
                <w:i w:val="0"/>
                <w:sz w:val="21"/>
              </w:rPr>
              <w:t>是（軟浮點）</w:t>
            </w:r>
          </w:p>
        </w:tc>
        <w:tc>
          <w:tcPr>
            <w:tcW w:type="dxa" w:w="2519"/>
            <w:vAlign w:val="center"/>
          </w:tcPr>
          <w:p>
            <w:pPr>
              <w:spacing w:before="20" w:after="20" w:lineRule="atLeast" w:line="280"/>
              <w:jc w:val="left"/>
            </w:pPr>
            <w:r>
              <w:rPr>
                <w:rFonts w:eastAsia="標楷體" w:ascii="Times New Roman" w:hAnsi="Times New Roman"/>
                <w:b w:val="0"/>
                <w:i w:val="0"/>
                <w:sz w:val="21"/>
              </w:rPr>
              <w:t>含 OCV 表 ~404 B（101×float）</w:t>
            </w:r>
          </w:p>
        </w:tc>
      </w:tr>
      <w:tr>
        <w:tc>
          <w:tcPr>
            <w:tcW w:type="dxa" w:w="600"/>
            <w:vAlign w:val="center"/>
          </w:tcPr>
          <w:p>
            <w:pPr>
              <w:spacing w:before="20" w:after="20" w:lineRule="atLeast" w:line="280"/>
              <w:jc w:val="left"/>
            </w:pPr>
            <w:r>
              <w:rPr>
                <w:rFonts w:eastAsia="標楷體" w:ascii="Times New Roman" w:hAnsi="Times New Roman"/>
                <w:b w:val="0"/>
                <w:i w:val="0"/>
                <w:sz w:val="21"/>
              </w:rPr>
              <w:t>動態阻抗</w:t>
            </w:r>
          </w:p>
        </w:tc>
        <w:tc>
          <w:tcPr>
            <w:tcW w:type="dxa" w:w="139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8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075"/>
            <w:vAlign w:val="center"/>
          </w:tcPr>
          <w:p>
            <w:pPr>
              <w:spacing w:before="20" w:after="20" w:lineRule="atLeast" w:line="280"/>
              <w:jc w:val="left"/>
            </w:pPr>
            <w:r>
              <w:rPr>
                <w:rFonts w:eastAsia="標楷體" w:ascii="Times New Roman" w:hAnsi="Times New Roman"/>
                <w:b w:val="0"/>
                <w:i w:val="0"/>
                <w:sz w:val="21"/>
              </w:rPr>
              <w:t>是（一次 sqrt）</w:t>
            </w:r>
          </w:p>
        </w:tc>
        <w:tc>
          <w:tcPr>
            <w:tcW w:type="dxa" w:w="2519"/>
            <w:vAlign w:val="center"/>
          </w:tcPr>
          <w:p>
            <w:pPr>
              <w:spacing w:before="20" w:after="20" w:lineRule="atLeast" w:line="280"/>
              <w:jc w:val="left"/>
            </w:pPr>
            <w:r>
              <w:rPr>
                <w:rFonts w:eastAsia="標楷體" w:ascii="Times New Roman" w:hAnsi="Times New Roman"/>
                <w:b w:val="0"/>
                <w:i w:val="0"/>
                <w:sz w:val="21"/>
              </w:rPr>
              <w:t>僅 4 係數</w:t>
            </w:r>
          </w:p>
        </w:tc>
      </w:tr>
    </w:tbl>
    <w:p>
      <w:pPr>
        <w:spacing w:before="60" w:after="160" w:lineRule="atLeast" w:line="320"/>
        <w:jc w:val="center"/>
      </w:pPr>
      <w:r>
        <w:rPr>
          <w:rFonts w:eastAsia="標楷體" w:ascii="Times New Roman" w:hAnsi="Times New Roman"/>
          <w:b/>
          <w:i w:val="0"/>
          <w:sz w:val="22"/>
        </w:rPr>
        <w:t>表 4-6</w:t>
      </w:r>
      <w:r>
        <w:rPr>
          <w:rFonts w:eastAsia="標楷體" w:ascii="Times New Roman" w:hAnsi="Times New Roman"/>
          <w:b w:val="0"/>
          <w:i w:val="0"/>
          <w:sz w:val="22"/>
        </w:rPr>
        <w:t xml:space="preserve">　三法嵌入式資源 footprint（同 MCU 實測，待量測填入）。STM32G071 無硬體 FPU，浮點走軟體模擬，預期 EKF 之 cycles/update 顯著高於另二法。</w:t>
      </w:r>
    </w:p>
    <w:p>
      <w:pPr>
        <w:spacing w:lineRule="atLeast" w:line="480"/>
        <w:ind w:firstLine="480"/>
        <w:jc w:val="both"/>
      </w:pPr>
      <w:r>
        <w:rPr>
          <w:rFonts w:eastAsia="標楷體" w:ascii="Times New Roman" w:hAnsi="Times New Roman"/>
          <w:b w:val="0"/>
          <w:i w:val="0"/>
          <w:sz w:val="24"/>
        </w:rPr>
        <w:t>此表預期清楚呈現「精度—資源」權衡：庫倫計數資源下界但無修正能力；EKF 精度／強健性最佳但 Flash／RAM／CPU 代價最高（軟浮點 + OCV 表 + 矩陣展開）；動態阻抗居中且實驗成本最低。此即第二章 2.3 節所述「商用 IC 為何多捨 EKF」之量化佐證——而本研究恰以同硬體實測填補文獻少見之缺口。</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b w:val="0"/>
          <w:i w:val="0"/>
          <w:sz w:val="24"/>
        </w:rPr>
        <w:t>綜合精度、強健性與資源三軸，依目標應用之約束給出方法選用建議（待 4.4.1–4.4.3 數據齊備後，將以實測值支撐下表結論；目前為基於原理與設計的預期）：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13"/>
        <w:gridCol w:w="2492"/>
        <w:gridCol w:w="1995"/>
      </w:tblGrid>
      <w:tr>
        <w:tc>
          <w:tcPr>
            <w:tcW w:type="dxa" w:w="4113"/>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492"/>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1995"/>
            <w:shd w:val="clear" w:color="auto" w:fill="D9E2F3"/>
            <w:vAlign w:val="center"/>
          </w:tcPr>
          <w:p>
            <w:pPr>
              <w:spacing w:before="20" w:after="20" w:lineRule="atLeast" w:line="280"/>
              <w:jc w:val="center"/>
            </w:pPr>
            <w:r>
              <w:rPr>
                <w:rFonts w:eastAsia="標楷體" w:ascii="Times New Roman" w:hAnsi="Times New Roman"/>
                <w:b/>
                <w:i w:val="0"/>
                <w:sz w:val="21"/>
              </w:rPr>
              <w:t>理由（待實測佐證）</w:t>
            </w:r>
          </w:p>
        </w:tc>
      </w:tr>
      <w:tr>
        <w:tc>
          <w:tcPr>
            <w:tcW w:type="dxa" w:w="4113"/>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492"/>
            <w:vAlign w:val="center"/>
          </w:tcPr>
          <w:p>
            <w:pPr>
              <w:spacing w:before="20" w:after="20" w:lineRule="atLeast" w:line="280"/>
              <w:jc w:val="left"/>
            </w:pPr>
            <w:r>
              <w:rPr>
                <w:rFonts w:eastAsia="標楷體" w:ascii="Times New Roman" w:hAnsi="Times New Roman"/>
                <w:b w:val="0"/>
                <w:i w:val="0"/>
                <w:sz w:val="21"/>
              </w:rPr>
              <w:t>庫倫計數 + 靜置 OCV 週期修正</w:t>
            </w:r>
          </w:p>
        </w:tc>
        <w:tc>
          <w:tcPr>
            <w:tcW w:type="dxa" w:w="1995"/>
            <w:vAlign w:val="center"/>
          </w:tcPr>
          <w:p>
            <w:pPr>
              <w:spacing w:before="20" w:after="20" w:lineRule="atLeast" w:line="280"/>
              <w:jc w:val="left"/>
            </w:pPr>
            <w:r>
              <w:rPr>
                <w:rFonts w:eastAsia="標楷體" w:ascii="Times New Roman" w:hAnsi="Times New Roman"/>
                <w:b w:val="0"/>
                <w:i w:val="0"/>
                <w:sz w:val="21"/>
              </w:rPr>
              <w:t>資源下界；以靜置修正補漂移</w:t>
            </w:r>
          </w:p>
        </w:tc>
      </w:tr>
      <w:tr>
        <w:tc>
          <w:tcPr>
            <w:tcW w:type="dxa" w:w="4113"/>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492"/>
            <w:vAlign w:val="center"/>
          </w:tcPr>
          <w:p>
            <w:pPr>
              <w:spacing w:before="20" w:after="20" w:lineRule="atLeast" w:line="280"/>
              <w:jc w:val="left"/>
            </w:pPr>
            <w:r>
              <w:rPr>
                <w:rFonts w:eastAsia="標楷體" w:ascii="Times New Roman" w:hAnsi="Times New Roman"/>
                <w:b w:val="0"/>
                <w:i w:val="0"/>
                <w:sz w:val="21"/>
              </w:rPr>
              <w:t>EKF（一階 RC）</w:t>
            </w:r>
          </w:p>
        </w:tc>
        <w:tc>
          <w:tcPr>
            <w:tcW w:type="dxa" w:w="1995"/>
            <w:vAlign w:val="center"/>
          </w:tcPr>
          <w:p>
            <w:pPr>
              <w:spacing w:before="20" w:after="20" w:lineRule="atLeast" w:line="280"/>
              <w:jc w:val="left"/>
            </w:pPr>
            <w:r>
              <w:rPr>
                <w:rFonts w:eastAsia="標楷體" w:ascii="Times New Roman" w:hAnsi="Times New Roman"/>
                <w:b w:val="0"/>
                <w:i w:val="0"/>
                <w:sz w:val="21"/>
              </w:rPr>
              <w:t>精度／強健性最佳，資源代價可接受</w:t>
            </w:r>
          </w:p>
        </w:tc>
      </w:tr>
      <w:tr>
        <w:tc>
          <w:tcPr>
            <w:tcW w:type="dxa" w:w="4113"/>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492"/>
            <w:vAlign w:val="center"/>
          </w:tcPr>
          <w:p>
            <w:pPr>
              <w:spacing w:before="20" w:after="20" w:lineRule="atLeast" w:line="280"/>
              <w:jc w:val="left"/>
            </w:pPr>
            <w:r>
              <w:rPr>
                <w:rFonts w:eastAsia="標楷體" w:ascii="Times New Roman" w:hAnsi="Times New Roman"/>
                <w:b w:val="0"/>
                <w:i w:val="0"/>
                <w:sz w:val="21"/>
              </w:rPr>
              <w:t>動態阻抗</w:t>
            </w:r>
          </w:p>
        </w:tc>
        <w:tc>
          <w:tcPr>
            <w:tcW w:type="dxa" w:w="1995"/>
            <w:vAlign w:val="center"/>
          </w:tcPr>
          <w:p>
            <w:pPr>
              <w:spacing w:before="20" w:after="20" w:lineRule="atLeast" w:line="280"/>
              <w:jc w:val="left"/>
            </w:pPr>
            <w:r>
              <w:rPr>
                <w:rFonts w:eastAsia="標楷體" w:ascii="Times New Roman" w:hAnsi="Times New Roman"/>
                <w:b w:val="0"/>
                <w:i w:val="0"/>
                <w:sz w:val="21"/>
              </w:rPr>
              <w:t>無須初值與靜置；複用既有擾動</w:t>
            </w:r>
          </w:p>
        </w:tc>
      </w:tr>
      <w:tr>
        <w:tc>
          <w:tcPr>
            <w:tcW w:type="dxa" w:w="4113"/>
            <w:vAlign w:val="center"/>
          </w:tcPr>
          <w:p>
            <w:pPr>
              <w:spacing w:before="20" w:after="20" w:lineRule="atLeast" w:line="280"/>
              <w:jc w:val="left"/>
            </w:pPr>
            <w:r>
              <w:rPr>
                <w:rFonts w:eastAsia="標楷體" w:ascii="Times New Roman" w:hAnsi="Times New Roman"/>
                <w:b w:val="0"/>
                <w:i w:val="0"/>
                <w:sz w:val="21"/>
              </w:rPr>
              <w:t>對精度要求極高且可離線訓練</w:t>
            </w:r>
          </w:p>
        </w:tc>
        <w:tc>
          <w:tcPr>
            <w:tcW w:type="dxa" w:w="2492"/>
            <w:vAlign w:val="center"/>
          </w:tcPr>
          <w:p>
            <w:pPr>
              <w:spacing w:before="20" w:after="20" w:lineRule="atLeast" w:line="280"/>
              <w:jc w:val="left"/>
            </w:pPr>
            <w:r>
              <w:rPr>
                <w:rFonts w:eastAsia="標楷體" w:ascii="Times New Roman" w:hAnsi="Times New Roman"/>
                <w:b w:val="0"/>
                <w:i w:val="0"/>
                <w:sz w:val="21"/>
              </w:rPr>
              <w:t>（未來）NN／EKF+NN fusion</w:t>
            </w:r>
          </w:p>
        </w:tc>
        <w:tc>
          <w:tcPr>
            <w:tcW w:type="dxa" w:w="1995"/>
            <w:vAlign w:val="center"/>
          </w:tcPr>
          <w:p>
            <w:pPr>
              <w:spacing w:before="20" w:after="20" w:lineRule="atLeast" w:line="280"/>
              <w:jc w:val="left"/>
            </w:pPr>
            <w:r>
              <w:rPr>
                <w:rFonts w:eastAsia="標楷體" w:ascii="Times New Roman" w:hAnsi="Times New Roman"/>
                <w:b w:val="0"/>
                <w:i w:val="0"/>
                <w:sz w:val="21"/>
              </w:rPr>
              <w:t>第六章未來工作</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b w:val="0"/>
          <w:i w:val="0"/>
          <w:sz w:val="24"/>
        </w:rPr>
        <w:t>本章於第三章建立的統一平台上，依「原理 → 演算法 → STM32 實作 → 實驗結果」一致結構，實作並比較三種 SOC 估測方法。</w:t>
      </w:r>
      <w:r>
        <w:rPr>
          <w:rFonts w:eastAsia="標楷體" w:ascii="Times New Roman" w:hAnsi="Times New Roman"/>
          <w:b/>
          <w:i w:val="0"/>
          <w:sz w:val="24"/>
        </w:rPr>
        <w:t>已完成且實測</w:t>
      </w:r>
      <w:r>
        <w:rPr>
          <w:rFonts w:eastAsia="標楷體" w:ascii="Times New Roman" w:hAnsi="Times New Roman"/>
          <w:b w:val="0"/>
          <w:i w:val="0"/>
          <w:sz w:val="24"/>
        </w:rPr>
        <w:t>者為：庫倫計數法之 PC／STM32 設計、其作為逐 cycle ground truth 的正當性論證，以及 rounds 1–23 之 rate-capability 實測（此 NMC 電池 0.5C→2.0C 容量僅降約 1%，rate capability 極平坦，為公平比較之有利條件）。</w:t>
      </w:r>
      <w:r>
        <w:rPr>
          <w:rFonts w:eastAsia="標楷體" w:ascii="Times New Roman" w:hAnsi="Times New Roman"/>
          <w:b/>
          <w:i w:val="0"/>
          <w:sz w:val="24"/>
        </w:rPr>
        <w:t>設計完成、實驗待跑</w:t>
      </w:r>
      <w:r>
        <w:rPr>
          <w:rFonts w:eastAsia="標楷體" w:ascii="Times New Roman" w:hAnsi="Times New Roman"/>
          <w:b w:val="0"/>
          <w:i w:val="0"/>
          <w:sz w:val="24"/>
        </w:rPr>
        <w:t>者為：EKF（一階 RC，狀態 2 維、觀測純量、增益免矩陣求逆，以 GITT OCV 表為觀測方程）之完整演算法與 STM32 浮點實作設計；動態阻抗法（複用既有 dV/dI 擾動、二次擬合 + 分枝選根）之演算法與輕量實作設計；以及 4.4 之精度／強健性／footprint 三軸比較框架與表骨架。</w:t>
      </w:r>
    </w:p>
    <w:p>
      <w:pPr>
        <w:spacing w:lineRule="atLeast" w:line="480"/>
        <w:ind w:firstLine="480"/>
        <w:jc w:val="both"/>
      </w:pPr>
      <w:r>
        <w:rPr>
          <w:rFonts w:eastAsia="標楷體" w:ascii="Times New Roman" w:hAnsi="Times New Roman"/>
          <w:b w:val="0"/>
          <w:i w:val="0"/>
          <w:sz w:val="24"/>
        </w:rPr>
        <w:t xml:space="preserve">凡尚未實測之數值均誠實標註 </w:t>
      </w:r>
      <w:r>
        <w:rPr>
          <w:rFonts w:eastAsia="標楷體" w:ascii="Consolas" w:hAnsi="Consolas"/>
          <w:b w:val="0"/>
          <w:i w:val="0"/>
          <w:sz w:val="21"/>
        </w:rPr>
        <w:t>[待測]</w:t>
      </w:r>
      <w:r>
        <w:rPr>
          <w:rFonts w:eastAsia="標楷體" w:ascii="Times New Roman" w:hAnsi="Times New Roman"/>
          <w:b w:val="0"/>
          <w:i w:val="0"/>
          <w:sz w:val="24"/>
        </w:rPr>
        <w:t>，未以虛構數據充數。待 GITT OCV 表建立、EKF PC 原型與 STM32 移植、動態阻抗離線擬合與韌體化完成後，4.2.5、4.3.4 與 4.4 各表將以同一電池、同一協定、同一 MCU 之實測值填入，屆時即構成本論文回應「嵌入式環境下公平 benchmark」研究缺口之核心證據。第五章將在此基礎上，討論三法並行於同一 MCU 的整合策略、100 µs tick 內的 CPU loading 分配、fresh-cell baseline 三輪變異性，以及實驗過程之工程教訓。</w:t>
      </w:r>
    </w:p>
    <w:p>
      <w:pPr>
        <w:pStyle w:val="1"/>
      </w:pPr>
      <w:r>
        <w:rPr>
          <w:rFonts w:ascii="Times New Roman" w:hAnsi="Times New Roman" w:eastAsia="標楷體"/>
          <w:b/>
          <w:sz w:val="32"/>
        </w:rPr>
        <w:t>第五章　系統整合與性能評估</w:t>
      </w:r>
    </w:p>
    <w:p>
      <w:r>
        <w:rPr>
          <w:rFonts w:ascii="Times New Roman" w:hAnsi="Times New Roman" w:eastAsia="標楷體"/>
          <w:b w:val="0"/>
          <w:sz w:val="24"/>
        </w:rPr>
        <w:t>本章探討三種方法並行於同一 MCU 之整合策略、100 µs 節拍內 CPU 負載分配，以及 fresh-cell 基準跨輪變異性分析。</w:t>
      </w:r>
    </w:p>
    <w:p>
      <w:r>
        <w:rPr>
          <w:rFonts w:ascii="Times New Roman" w:hAnsi="Times New Roman" w:eastAsia="標楷體"/>
          <w:b w:val="0"/>
          <w:sz w:val="24"/>
        </w:rPr>
        <w:t>（本章內文見獨立章節檔，將於完稿時合併。）</w:t>
      </w:r>
    </w:p>
    <w:p>
      <w:pPr>
        <w:pStyle w:val="1"/>
      </w:pPr>
      <w:r>
        <w:rPr>
          <w:rFonts w:ascii="Times New Roman" w:hAnsi="Times New Roman" w:eastAsia="標楷體"/>
          <w:b/>
          <w:sz w:val="32"/>
        </w:rPr>
        <w:t>第六章　結論與未來工作</w:t>
      </w:r>
    </w:p>
    <w:p>
      <w:r>
        <w:rPr>
          <w:rFonts w:ascii="Times New Roman" w:hAnsi="Times New Roman" w:eastAsia="標楷體"/>
          <w:b w:val="0"/>
          <w:sz w:val="24"/>
        </w:rPr>
        <w:t>本章總結主要貢獻，提出 SOC 方法適用情境決策表，並展望 SOH 估測延伸、LFP 遲滯處理與資料驅動融合等未來方向。</w:t>
      </w:r>
    </w:p>
    <w:p>
      <w:r>
        <w:rPr>
          <w:rFonts w:ascii="Times New Roman" w:hAnsi="Times New Roman" w:eastAsia="標楷體"/>
          <w:b w:val="0"/>
          <w:sz w:val="24"/>
        </w:rPr>
        <w:t>（本章內文見獨立章節檔，將於完稿時合併。）</w:t>
      </w:r>
    </w:p>
    <w:sectPr w:rsidR="001C6393" w:rsidRPr="00037F30" w:rsidSect="00FC7FF9">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