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r>
        <w:pict>
          <v:shapetype id="_x0000_t202" coordsize="21600,21600" o:spt="202" path="m,l,21600r21600,l21600,xe">
            <v:stroke joinstyle="miter"/>
            <v:path gradientshapeok="t" o:connecttype="rect"/>
          </v:shapetype>
          <v:shape id="spineBox" o:spid="_x0000_s1026" type="#_x0000_t202" style="position:absolute;margin-left:0.7cm;margin-top:2cm;width:1.2cm;height:25cm;mso-position-horizontal-relative:page;mso-position-vertical-relative:page;z-index:-1;mso-wrap-style:none;v-text-anchor:top;layout-flow:vertical-ideographic" filled="f" stroked="f">
            <v:textbox style="layout-flow:vertical-ideographic" inset="0,0,0,0">
              <w:txbxContent>
                <w:p>
                  <w:pPr>
                    <w:jc w:val="center"/>
                  </w:pPr>
                  <w:r>
                    <w:rPr>
                      <w:rFonts w:ascii="標楷體" w:eastAsia="標楷體"/>
                      <w:sz w:val="24"/>
                    </w:rPr>
                    <w:t xml:space="preserve">中原大學　○○○○學系　碩士學位論文　　鋰電池 SOC 估測方法之比較與嵌入式實作　　○○○　　中華民國 115 年</w:t>
                  </w:r>
                </w:p>
              </w:txbxContent>
            </v:textbox>
          </v:shape>
        </w:pict>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44"/>
          <w:szCs w:val="44"/>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O</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spacing w:lineRule="atLeast" w:line="440"/>
        <w:ind w:firstLine="480"/>
        <w:jc w:val="both"/>
        <w:rPr>
          <w:rFonts w:ascii="標楷體" w:eastAsia="標楷體" w:hAnsi="標楷體" w:cs="Times New Roman"/>
          <w:szCs w:val="24"/>
        </w:rPr>
      </w:pPr>
      <w:r>
        <w:rPr>
          <w:rFonts w:eastAsia="標楷體" w:ascii="Times New Roman" w:hAnsi="Times New Roman"/>
          <w:b w:val="0"/>
          <w:i w:val="0"/>
          <w:sz w:val="24"/>
        </w:rPr>
        <w:t>荷電狀態（State of Charge, SOC）估測是電池管理系統的核心機能。然而既有的 SOC 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已完成之實測包含：電流量測經多點線性校正後全範圍誤差小於 0.21 mA；受測鋰離子電池於 0.5C 至 2.0C 之放電容量僅下降約 1%，且跨輪再現性良好；動態阻抗與 SOC 之關係經實測確認呈拋物線、最低點約在 SOC 53%，並以該擬合反推 SOC，得各放電倍率之逐點均方根誤差約 6～10%、且於 SOC 中段顯著較大，量化揭示了單獨以阻抗反推 SOC 的解析度限制，據此採用「動態阻抗離散校正搭配庫倫計數內插」的混合策略。本論文之主要貢獻在於提供一個可重現的嵌入式 SOC 估測方法公平比較平台與量化框架，作為工程實務上依精度需求與資源預算選用 SOC 演算法的量化依據。</w:t>
      </w:r>
    </w:p>
    <w:p>
      <w:pPr>
        <w:spacing w:before="160" w:lineRule="atLeast" w:line="440"/>
        <w:jc w:val="left"/>
      </w:pPr>
      <w:r>
        <w:rPr>
          <w:rFonts w:eastAsia="標楷體" w:ascii="Times New Roman" w:hAnsi="Times New Roman"/>
          <w:b w:val="0"/>
          <w:i w:val="0"/>
          <w:sz w:val="24"/>
        </w:rPr>
        <w:t>關鍵詞：鋰離子電池、荷電狀態估測、庫倫計數、擴展卡爾曼濾波器、動態阻抗法、嵌入式系統</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spacing w:lineRule="atLeast" w:line="440"/>
        <w:ind w:firstLine="480"/>
        <w:jc w:val="both"/>
        <w:rPr>
          <w:rFonts w:ascii="Times New Roman" w:hAnsi="Times New Roman" w:cs="Times New Roman"/>
          <w:szCs w:val="24"/>
        </w:rPr>
      </w:pPr>
      <w:r>
        <w:rPr>
          <w:rFonts w:eastAsia="標楷體" w:ascii="Times New Roman" w:hAnsi="Times New Roman"/>
          <w:b w:val="0"/>
          <w:i w:val="0"/>
          <w:sz w:val="24"/>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pPr>
        <w:spacing w:before="160" w:lineRule="atLeast" w:line="440"/>
        <w:jc w:val="left"/>
      </w:pPr>
      <w:r>
        <w:rPr>
          <w:rFonts w:eastAsia="標楷體" w:ascii="Times New Roman" w:hAnsi="Times New Roman"/>
          <w:b w:val="0"/>
          <w:i w:val="0"/>
          <w:sz w:val="24"/>
        </w:rPr>
        <w:t>Keywords: lithium-ion battery, state of charge estimation, Coulomb counting, extended Kalman filter, dynamic impedance method, embedded system</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pPr>
        <w:spacing w:line="480" w:lineRule="exact"/>
        <w:ind w:firstLine="480"/>
        <w:jc w:val="both"/>
      </w:pPr>
      <w:r>
        <w:rPr>
          <w:rFonts w:ascii="Times New Roman" w:hAnsi="Times New Roman" w:eastAsia="標楷體"/>
          <w:b w:val="0"/>
          <w:sz w:val="24"/>
        </w:rPr>
        <w:t>本論文得以順利完成，首先要衷心感謝指導教授 ○○○ 博士。從研究題目的選定、實驗平台的規劃，到論文的撰寫與反覆修改，老師均給予悉心的指導與啟發，使我在專業知識與研究態度上獲益良多，謹致上最誠摯的謝意。</w:t>
      </w:r>
    </w:p>
    <w:p>
      <w:pPr>
        <w:spacing w:line="480" w:lineRule="exact"/>
        <w:ind w:firstLine="480"/>
        <w:jc w:val="both"/>
      </w:pPr>
      <w:r>
        <w:rPr>
          <w:rFonts w:ascii="Times New Roman" w:hAnsi="Times New Roman" w:eastAsia="標楷體"/>
          <w:b w:val="0"/>
          <w:sz w:val="24"/>
        </w:rPr>
        <w:t>亦感謝口試委員 ○○○ 教授與 ○○○ 教授，於百忙之中撥冗審閱本論文，並惠賜諸多寶貴意見與指正，使本論文之內容與架構得以更臻完善。</w:t>
      </w:r>
    </w:p>
    <w:p>
      <w:pPr>
        <w:spacing w:line="480" w:lineRule="exact"/>
        <w:ind w:firstLine="480"/>
        <w:jc w:val="both"/>
      </w:pPr>
      <w:r>
        <w:rPr>
          <w:rFonts w:ascii="Times New Roman" w:hAnsi="Times New Roman" w:eastAsia="標楷體"/>
          <w:b w:val="0"/>
          <w:sz w:val="24"/>
        </w:rPr>
        <w:t>感謝實驗室的學長姐、同學與學弟妹，在這段研究期間於課業、實驗與儀器量測上的相互砥礪與協助，以及生活中的陪伴與鼓勵，讓這段研究歷程充實而難忘。</w:t>
      </w:r>
    </w:p>
    <w:p>
      <w:pPr>
        <w:spacing w:line="480" w:lineRule="exact"/>
        <w:ind w:firstLine="480"/>
        <w:jc w:val="both"/>
      </w:pPr>
      <w:r>
        <w:rPr>
          <w:rFonts w:ascii="Times New Roman" w:hAnsi="Times New Roman" w:eastAsia="標楷體"/>
          <w:b w:val="0"/>
          <w:sz w:val="24"/>
        </w:rPr>
        <w:t>最後，僅將本論文獻給我摯愛的家人，感謝你們長久以來無條件的支持與包容，讓我得以無後顧之憂地專注於學業，完成此一階段的里程碑。</w:t>
      </w:r>
    </w:p>
    <w:p>
      <w:pPr>
        <w:spacing w:line="480" w:lineRule="exact"/>
        <w:jc w:val="right"/>
      </w:pPr>
      <w:r>
        <w:rPr>
          <w:rFonts w:ascii="Times New Roman" w:hAnsi="Times New Roman" w:eastAsia="標楷體"/>
          <w:b w:val="0"/>
          <w:sz w:val="24"/>
        </w:rPr>
        <w:t>○○○　謹誌於中原大學</w:t>
      </w:r>
    </w:p>
    <w:p>
      <w:pPr>
        <w:spacing w:line="480" w:lineRule="exact"/>
        <w:jc w:val="right"/>
      </w:pPr>
      <w:r>
        <w:rPr>
          <w:rFonts w:ascii="Times New Roman" w:hAnsi="Times New Roman" w:eastAsia="標楷體"/>
          <w:b w:val="0"/>
          <w:sz w:val="24"/>
        </w:rPr>
        <w:t>中華民國 115 年 ○ 月</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pPr>
        <w:pStyle w:val="1"/>
      </w:pPr>
      <w:r>
        <w:rPr>
          <w:rFonts w:ascii="Times New Roman" w:hAnsi="Times New Roman" w:eastAsia="標楷體"/>
          <w:b/>
          <w:sz w:val="32"/>
          <w:color w:val="000000"/>
        </w:rPr>
        <w:t>第一章　緒論</w:t>
      </w:r>
    </w:p>
    <w:p>
      <w:pPr>
        <w:spacing w:before="240" w:after="120" w:lineRule="atLeast" w:line="360"/>
        <w:jc w:val="left"/>
      </w:pPr>
      <w:r>
        <w:rPr>
          <w:rFonts w:eastAsia="標楷體" w:ascii="Times New Roman" w:hAnsi="Times New Roman"/>
          <w:b/>
          <w:i w:val="0"/>
          <w:sz w:val="28"/>
        </w:rPr>
        <w:t>1.1 研究背景</w:t>
      </w:r>
    </w:p>
    <w:p>
      <w:pPr>
        <w:spacing w:lineRule="atLeast" w:line="480"/>
        <w:ind w:firstLine="480"/>
        <w:jc w:val="both"/>
      </w:pPr>
      <w:r>
        <w:rPr>
          <w:rFonts w:eastAsia="標楷體" w:ascii="Times New Roman" w:hAnsi="Times New Roman"/>
          <w:b w:val="0"/>
          <w:i w:val="0"/>
          <w:sz w:val="24"/>
        </w:rPr>
        <w:t>近年來在淨零碳排與能源轉型的趨勢之下，鋰離子電池憑藉其高能量密度、低自放電率與長循環壽命等優勢，已成為電動車輛、可攜式電子裝置與大型儲能系統最主要的儲能元件。隨著應用規模持續擴大，電池在長期使用與深度充放電下所衍生的安全與壽命問題日益受到重視；電池若在劣化或異常狀態下持續運作，輕則加速老化、縮短使用壽命，重則引發過熱、起火甚至爆炸等公共安全事故。為了在確保安全的前提下充分發揮電池效能，電池管理系統（Battery Management System, BMS）已成為現代電池應用不可或缺的核心子系統。</w:t>
      </w:r>
    </w:p>
    <w:p>
      <w:pPr>
        <w:spacing w:lineRule="atLeast" w:line="480"/>
        <w:ind w:firstLine="480"/>
        <w:jc w:val="both"/>
      </w:pPr>
      <w:r>
        <w:rPr>
          <w:rFonts w:eastAsia="標楷體" w:ascii="Times New Roman" w:hAnsi="Times New Roman"/>
          <w:b w:val="0"/>
          <w:i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480"/>
        <w:ind w:firstLine="480"/>
        <w:jc w:val="both"/>
      </w:pPr>
      <w:r>
        <w:rPr>
          <w:rFonts w:eastAsia="標楷體" w:ascii="Times New Roman" w:hAnsi="Times New Roman"/>
          <w:b w:val="0"/>
          <w:i w:val="0"/>
          <w:sz w:val="24"/>
        </w:rPr>
        <w:t>然而，SOC 屬於電池的內部狀態，無法以任何感測器直接量測，只能透過端電壓、電流與溫度等可量測物理量間接推估 [1]。其困難之處在於，鋰離子電池本質上是一個高度非線性、時變且具有極化與遲滯特性的電化學系統：相同的端電壓在不同的電流負載、溫度與老化程度下可能對應到截然不同的真實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480"/>
        <w:ind w:firstLine="480"/>
        <w:jc w:val="both"/>
      </w:pPr>
      <w:r>
        <w:rPr>
          <w:rFonts w:eastAsia="標楷體" w:ascii="Times New Roman" w:hAnsi="Times New Roman"/>
          <w:b w:val="0"/>
          <w:i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before="240" w:after="120" w:lineRule="atLeast" w:line="360"/>
        <w:jc w:val="left"/>
      </w:pPr>
      <w:r>
        <w:rPr>
          <w:rFonts w:eastAsia="標楷體" w:ascii="Times New Roman" w:hAnsi="Times New Roman"/>
          <w:b/>
          <w:i w:val="0"/>
          <w:sz w:val="28"/>
        </w:rPr>
        <w:t>1.2 研究動機</w:t>
      </w:r>
    </w:p>
    <w:p>
      <w:pPr>
        <w:spacing w:lineRule="atLeast" w:line="480"/>
        <w:ind w:firstLine="480"/>
        <w:jc w:val="both"/>
      </w:pPr>
      <w:r>
        <w:rPr>
          <w:rFonts w:eastAsia="標楷體" w:ascii="Times New Roman" w:hAnsi="Times New Roman"/>
          <w:b w:val="0"/>
          <w:i w:val="0"/>
          <w:sz w:val="24"/>
        </w:rPr>
        <w:t>針對 SOC 估測，學界與業界已提出眾多方法，大致可分為兩類：其一為直接計量法，包括以電流積分推估電量變化的庫倫計數法（Coulomb Counting）[2]，以及利用開路電壓與 SOC 對應關係的開路電壓查表法（OCV Look-up）；其二為模型基礎法，以等效電路模型搭配卡爾曼濾波器族（KF / EKF / UKF）為代表，並可進一步衍生出如動態阻抗法等以電氣特性變化量推估 SOC 的技巧 [1]。各類方法在精度、強健性、運算成本與校正資料需求上各有取捨，並無單一方法能在所有面向同時勝出。</w:t>
      </w:r>
    </w:p>
    <w:p>
      <w:pPr>
        <w:spacing w:lineRule="atLeast" w:line="480"/>
        <w:ind w:firstLine="480"/>
        <w:jc w:val="both"/>
      </w:pPr>
      <w:r>
        <w:rPr>
          <w:rFonts w:eastAsia="標楷體" w:ascii="Times New Roman" w:hAnsi="Times New Roman"/>
          <w:b w:val="0"/>
          <w:i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480"/>
        <w:ind w:firstLine="480"/>
        <w:jc w:val="both"/>
      </w:pPr>
      <w:r>
        <w:rPr>
          <w:rFonts w:eastAsia="標楷體" w:ascii="Times New Roman" w:hAnsi="Times New Roman"/>
          <w:b w:val="0"/>
          <w:i w:val="0"/>
          <w:sz w:val="24"/>
        </w:rPr>
        <w:t>第二個缺口在於比較基準的不公平。既有的跨方法比較往往使用不同的電池、不同的測試協定與不同的硬體平台，使得各方法所報告的精度數字之間缺乏可直接對比的共同基準。以動態阻抗法 [1]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480"/>
        <w:ind w:firstLine="480"/>
        <w:jc w:val="both"/>
      </w:pPr>
      <w:r>
        <w:rPr>
          <w:rFonts w:eastAsia="標楷體" w:ascii="Times New Roman" w:hAnsi="Times New Roman"/>
          <w:b w:val="0"/>
          <w:i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before="240" w:after="120" w:lineRule="atLeast" w:line="360"/>
        <w:jc w:val="left"/>
      </w:pPr>
      <w:r>
        <w:rPr>
          <w:rFonts w:eastAsia="標楷體" w:ascii="Times New Roman" w:hAnsi="Times New Roman"/>
          <w:b/>
          <w:i w:val="0"/>
          <w:sz w:val="28"/>
        </w:rPr>
        <w:t>1.3 研究目的與貢獻</w:t>
      </w:r>
    </w:p>
    <w:p>
      <w:pPr>
        <w:spacing w:lineRule="atLeast" w:line="480"/>
        <w:ind w:firstLine="480"/>
        <w:jc w:val="both"/>
      </w:pPr>
      <w:r>
        <w:rPr>
          <w:rFonts w:eastAsia="標楷體" w:ascii="Times New Roman" w:hAnsi="Times New Roman"/>
          <w:b w:val="0"/>
          <w:i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480"/>
        <w:ind w:firstLine="480"/>
        <w:jc w:val="both"/>
      </w:pPr>
      <w:r>
        <w:rPr>
          <w:rFonts w:eastAsia="標楷體" w:ascii="Times New Roman" w:hAnsi="Times New Roman"/>
          <w:b w:val="0"/>
          <w:i w:val="0"/>
          <w:sz w:val="24"/>
        </w:rPr>
        <w:t>為達成上述目的，本論文之主要貢獻歸納為以下三點：</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自動化跨輪測試平台之設計與實作</w:t>
      </w:r>
      <w:r>
        <w:rPr>
          <w:rFonts w:eastAsia="標楷體" w:ascii="Times New Roman" w:hAnsi="Times New Roman"/>
          <w:b w:val="0"/>
          <w:i w:val="0"/>
          <w:sz w:val="24"/>
        </w:rPr>
        <w:t>：整合 STM32 微控制器、IT6302 可程式電源供應器、IT8512A+ 電子負載與 INA226 高精度電流／電壓量測晶片，搭配自動化排程程式，構成一套可長時間無人值守、跨充放電輪次自動續接的測試平台。平台並具備量測校正（INA226 多點線性內插，全範圍誤差小於 0.21 mA）與安全互鎖機制，確保長時間實驗的資料品質與設備安全。</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三種 SOC 估測方法之嵌入式實作</w:t>
      </w:r>
      <w:r>
        <w:rPr>
          <w:rFonts w:eastAsia="標楷體" w:ascii="Times New Roman" w:hAnsi="Times New Roman"/>
          <w:b w:val="0"/>
          <w:i w:val="0"/>
          <w:sz w:val="24"/>
        </w:rPr>
        <w:t>：將庫倫計數法、擴展卡爾曼濾波器與動態阻抗法依循一致的韌體規範（統一的系統節拍與模組化架構）實作於同一顆微控制器之上，使三種方法得以在完全相同的執行環境下運行，為後續的公平比較奠定基礎。</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嵌入式環境下精度與資源之量化比較</w:t>
      </w:r>
      <w:r>
        <w:rPr>
          <w:rFonts w:eastAsia="標楷體" w:ascii="Times New Roman" w:hAnsi="Times New Roman"/>
          <w:b w:val="0"/>
          <w:i w:val="0"/>
          <w:sz w:val="24"/>
        </w:rPr>
        <w:t>：在相同電池、相同測試協定與相同硬體條件下，量測三種方法的估測精度（RMSE、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pPr>
        <w:spacing w:lineRule="atLeast" w:line="480"/>
        <w:ind w:firstLine="480"/>
        <w:jc w:val="both"/>
      </w:pPr>
      <w:r>
        <w:rPr>
          <w:rFonts w:eastAsia="標楷體" w:ascii="Times New Roman" w:hAnsi="Times New Roman"/>
          <w:b w:val="0"/>
          <w:i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等其他化學體系；所有實驗於室溫環境進行，暫不納入溫度補償，溫度效應列為已知限制；研究主體聚焦 SOC 估測，SOH 估測列為未來工作。上述限制不影響本文對「嵌入式資源-精度權衡」此一核心問題的回答，相關延伸方向將於第六章討論。</w:t>
      </w:r>
    </w:p>
    <w:p>
      <w:pPr>
        <w:spacing w:before="240" w:after="120" w:lineRule="atLeast" w:line="360"/>
        <w:jc w:val="left"/>
      </w:pPr>
      <w:r>
        <w:rPr>
          <w:rFonts w:eastAsia="標楷體" w:ascii="Times New Roman" w:hAnsi="Times New Roman"/>
          <w:b/>
          <w:i w:val="0"/>
          <w:sz w:val="28"/>
        </w:rPr>
        <w:t>1.4 論文架構</w:t>
      </w:r>
    </w:p>
    <w:p>
      <w:pPr>
        <w:spacing w:lineRule="atLeast" w:line="480"/>
        <w:ind w:firstLine="480"/>
        <w:jc w:val="both"/>
      </w:pPr>
      <w:r>
        <w:rPr>
          <w:rFonts w:eastAsia="標楷體" w:ascii="Times New Roman" w:hAnsi="Times New Roman"/>
          <w:b w:val="0"/>
          <w:i w:val="0"/>
          <w:sz w:val="24"/>
        </w:rPr>
        <w:t>本論文共分為六章，各章內容安排如下：</w:t>
      </w:r>
    </w:p>
    <w:p>
      <w:pPr>
        <w:spacing w:lineRule="atLeast" w:line="480"/>
        <w:ind w:firstLine="480"/>
        <w:jc w:val="both"/>
      </w:pPr>
      <w:r>
        <w:rPr>
          <w:rFonts w:eastAsia="標楷體" w:ascii="Times New Roman" w:hAnsi="Times New Roman"/>
          <w:b/>
          <w:i w:val="0"/>
          <w:sz w:val="24"/>
        </w:rPr>
        <w:t>第一章 緒論</w:t>
      </w:r>
      <w:r>
        <w:rPr>
          <w:rFonts w:eastAsia="標楷體" w:ascii="Times New Roman" w:hAnsi="Times New Roman"/>
          <w:b w:val="0"/>
          <w:i w:val="0"/>
          <w:sz w:val="24"/>
        </w:rPr>
        <w:t>：說明研究背景、動機、目的與貢獻，並界定研究範圍與限制。</w:t>
      </w:r>
    </w:p>
    <w:p>
      <w:pPr>
        <w:spacing w:lineRule="atLeast" w:line="480"/>
        <w:ind w:firstLine="480"/>
        <w:jc w:val="both"/>
      </w:pPr>
      <w:r>
        <w:rPr>
          <w:rFonts w:eastAsia="標楷體" w:ascii="Times New Roman" w:hAnsi="Times New Roman"/>
          <w:b/>
          <w:i w:val="0"/>
          <w:sz w:val="24"/>
        </w:rPr>
        <w:t>第二章 文獻回顧</w:t>
      </w:r>
      <w:r>
        <w:rPr>
          <w:rFonts w:eastAsia="標楷體" w:ascii="Times New Roman" w:hAnsi="Times New Roman"/>
          <w:b w:val="0"/>
          <w:i w:val="0"/>
          <w:sz w:val="24"/>
        </w:rPr>
        <w:t>：回顧鋰離子電池的基本原理與等效電路模型，並依分類整理庫倫計數、OCV 查表、卡爾曼濾波族與動態阻抗法等 SOC 估測方法，最後說明本文選擇庫倫計數、EKF 與動態阻抗三種方法進行比較的依據。</w:t>
      </w:r>
    </w:p>
    <w:p>
      <w:pPr>
        <w:spacing w:lineRule="atLeast" w:line="480"/>
        <w:ind w:firstLine="480"/>
        <w:jc w:val="both"/>
      </w:pPr>
      <w:r>
        <w:rPr>
          <w:rFonts w:eastAsia="標楷體" w:ascii="Times New Roman" w:hAnsi="Times New Roman"/>
          <w:b/>
          <w:i w:val="0"/>
          <w:sz w:val="24"/>
        </w:rPr>
        <w:t>第三章 嵌入式量測與測試平台</w:t>
      </w:r>
      <w:r>
        <w:rPr>
          <w:rFonts w:eastAsia="標楷體" w:ascii="Times New Roman" w:hAnsi="Times New Roman"/>
          <w:b w:val="0"/>
          <w:i w:val="0"/>
          <w:sz w:val="24"/>
        </w:rPr>
        <w:t>：詳述本研究所建構之自動化測試平台，包含系統架構、韌體骨架、INA226 多點校正、電源與電子負載之自動化控制，以及跨輪測試協定。</w:t>
      </w:r>
    </w:p>
    <w:p>
      <w:pPr>
        <w:spacing w:lineRule="atLeast" w:line="480"/>
        <w:ind w:firstLine="480"/>
        <w:jc w:val="both"/>
      </w:pPr>
      <w:r>
        <w:rPr>
          <w:rFonts w:eastAsia="標楷體" w:ascii="Times New Roman" w:hAnsi="Times New Roman"/>
          <w:b/>
          <w:i w:val="0"/>
          <w:sz w:val="24"/>
        </w:rPr>
        <w:t>第四章 SOC 估測方法之實作與比較</w:t>
      </w:r>
      <w:r>
        <w:rPr>
          <w:rFonts w:eastAsia="標楷體" w:ascii="Times New Roman" w:hAnsi="Times New Roman"/>
          <w:b w:val="0"/>
          <w:i w:val="0"/>
          <w:sz w:val="24"/>
        </w:rPr>
        <w:t>：本論文之核心。以「原理、演算法、嵌入式實作、實驗結果」之一致結構，分別呈現庫倫計數法、擴展卡爾曼濾波器與動態阻抗法，並從精度、強健性、嵌入式資源佔用與工程實作難度四個面向進行公平比較。</w:t>
      </w:r>
    </w:p>
    <w:p>
      <w:pPr>
        <w:spacing w:lineRule="atLeast" w:line="480"/>
        <w:ind w:firstLine="480"/>
        <w:jc w:val="both"/>
      </w:pPr>
      <w:r>
        <w:rPr>
          <w:rFonts w:eastAsia="標楷體" w:ascii="Times New Roman" w:hAnsi="Times New Roman"/>
          <w:b/>
          <w:i w:val="0"/>
          <w:sz w:val="24"/>
        </w:rPr>
        <w:t>第五章 系統整合與性能評估</w:t>
      </w:r>
      <w:r>
        <w:rPr>
          <w:rFonts w:eastAsia="標楷體" w:ascii="Times New Roman" w:hAnsi="Times New Roman"/>
          <w:b w:val="0"/>
          <w:i w:val="0"/>
          <w:sz w:val="24"/>
        </w:rPr>
        <w:t>：探討三種方法並行於同一微控制器的整合策略、節拍內的運算負載分配驗證、fresh-cell 基準的跨輪變異性分析，以及實驗過程中的失敗案例與工程教訓。</w:t>
      </w:r>
    </w:p>
    <w:p>
      <w:pPr>
        <w:spacing w:lineRule="atLeast" w:line="480"/>
        <w:ind w:firstLine="480"/>
        <w:jc w:val="both"/>
      </w:pPr>
      <w:r>
        <w:rPr>
          <w:rFonts w:eastAsia="標楷體" w:ascii="Times New Roman" w:hAnsi="Times New Roman"/>
          <w:b/>
          <w:i w:val="0"/>
          <w:sz w:val="24"/>
        </w:rPr>
        <w:t>第六章 結論與未來工作</w:t>
      </w:r>
      <w:r>
        <w:rPr>
          <w:rFonts w:eastAsia="標楷體" w:ascii="Times New Roman" w:hAnsi="Times New Roman"/>
          <w:b w:val="0"/>
          <w:i w:val="0"/>
          <w:sz w:val="24"/>
        </w:rPr>
        <w:t>：總結本論文之主要貢獻，提出 SOC 方法適用情境決策表，並就單一電池、室溫與化學體系等限制，展望 SOH 估測延伸與 LFP 遲滯處理等未來研究方向。</w:t>
      </w:r>
    </w:p>
    <w:p>
      <w:pPr>
        <w:pStyle w:val="1"/>
      </w:pPr>
      <w:r>
        <w:rPr>
          <w:rFonts w:ascii="Times New Roman" w:hAnsi="Times New Roman" w:eastAsia="標楷體"/>
          <w:b/>
          <w:sz w:val="32"/>
          <w:color w:val="000000"/>
        </w:rPr>
        <w:t>第二章　文獻回顧</w:t>
      </w:r>
    </w:p>
    <w:p>
      <w:pPr>
        <w:spacing w:before="240" w:after="120" w:lineRule="atLeast" w:line="360"/>
        <w:jc w:val="left"/>
      </w:pPr>
      <w:r>
        <w:rPr>
          <w:rFonts w:eastAsia="標楷體" w:ascii="Times New Roman" w:hAnsi="Times New Roman"/>
          <w:b/>
          <w:i w:val="0"/>
          <w:sz w:val="28"/>
        </w:rPr>
        <w:t>2.1 鋰離子電池基本原理與等效電路模型</w:t>
      </w:r>
    </w:p>
    <w:p>
      <w:pPr>
        <w:spacing w:before="160" w:after="80" w:lineRule="atLeast" w:line="360"/>
        <w:jc w:val="left"/>
      </w:pPr>
      <w:r>
        <w:rPr>
          <w:rFonts w:eastAsia="標楷體" w:ascii="Times New Roman" w:hAnsi="Times New Roman"/>
          <w:b/>
          <w:i w:val="0"/>
          <w:sz w:val="26"/>
        </w:rPr>
        <w:t>2.1.1 端電壓的組成與 SOC 估測的根本困難</w:t>
      </w:r>
    </w:p>
    <w:p>
      <w:pPr>
        <w:spacing w:lineRule="atLeast" w:line="480"/>
        <w:ind w:firstLine="480"/>
        <w:jc w:val="both"/>
      </w:pPr>
      <w:r>
        <w:rPr>
          <w:rFonts w:eastAsia="標楷體" w:ascii="Times New Roman" w:hAnsi="Times New Roman"/>
          <w:b w:val="0"/>
          <w:i w:val="0"/>
          <w:sz w:val="24"/>
        </w:rPr>
        <w:t xml:space="preserve">鋰離子電池在充放電過程中，其對外可量測的端電壓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 並非電池真實的熱力學電位，而是由多個成分疊加而成。一般可將其拆解為開路電壓、歐姆壓降與極化過電位三部分：</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pol</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為開路電壓（Open-Circuit Voltage, OCV），是電池在充分靜置、內部達到電化學平衡後的端電壓，與 SOC 之間存在單調對應關係；</w:t>
      </w:r>
      <w:r>
        <w:rPr>
          <w:rFonts w:eastAsia="標楷體" w:ascii="Times New Roman" w:hAnsi="Times New Roman"/>
          <w:b w:val="0"/>
          <w:i w:val="0"/>
          <w:sz w:val="24"/>
        </w:rPr>
        <w:t xml:space="preserve">I · 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為流經電池歐姆內阻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（含電極、電解液與接觸電阻）所產生的瞬時壓降；</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pol</w:t>
      </w:r>
      <w:r>
        <w:rPr>
          <w:rFonts w:eastAsia="標楷體" w:ascii="Times New Roman" w:hAnsi="Times New Roman"/>
          <w:b w:val="0"/>
          <w:i w:val="0"/>
          <w:sz w:val="24"/>
        </w:rPr>
        <w:t xml:space="preserve"> 則為電荷轉移與濃度擴散等極化效應隨時間累積的過電位，具有明顯的時間常數，在電流變化後需數秒至數十分鐘才會鬆弛至穩態 [1]。</w:t>
      </w:r>
    </w:p>
    <w:p>
      <w:pPr>
        <w:spacing w:lineRule="atLeast" w:line="480"/>
        <w:ind w:firstLine="480"/>
        <w:jc w:val="both"/>
      </w:pPr>
      <w:r>
        <w:rPr>
          <w:rFonts w:eastAsia="標楷體" w:ascii="Times New Roman" w:hAnsi="Times New Roman"/>
          <w:b w:val="0"/>
          <w:i w:val="0"/>
          <w:sz w:val="24"/>
        </w:rPr>
        <w:t>正是上述組成使 SOC 估測在動態工況下格外困難：在有負載電流時，端電壓被歐姆壓降與極化過電位「污染」，與真實 OCV 之間存在隨電流大小、方向、溫度與老化程度而變的偏差；相同的端電壓在不同負載條件下可能對應到截然不同的真實 SOC。此外，鋰離子電池（尤其是 LFP 體系）的 OCV–SOC 曲線在部分區段呈現遲滯（hysteresis）與電壓平台，使得「以端電壓反推 SOC」這一最直觀的想法在工程上無法單獨成立 [1]。因此，多數實用的 SOC 估測方法都需要藉助一個能描述「電流如何影響端電壓動態」的電池模型，將量測到的端電壓「還原」成可用以推估 SOC 的資訊，這即是等效電路模型（Equivalent Circuit Model, ECM）的角色。本章後續討論的三種等效電路模型，其電路結構如圖 2-1 所示。</w:t>
      </w:r>
    </w:p>
    <w:p>
      <w:pPr>
        <w:spacing w:before="120" w:after="40"/>
        <w:jc w:val="center"/>
      </w:pPr>
      <w:r>
        <w:drawing>
          <wp:inline xmlns:a="http://schemas.openxmlformats.org/drawingml/2006/main" xmlns:pic="http://schemas.openxmlformats.org/drawingml/2006/picture">
            <wp:extent cx="4860000" cy="5476518"/>
            <wp:docPr id="1" name="Picture 1"/>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4860000" cy="5476518"/>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2-1</w:t>
      </w:r>
      <w:r>
        <w:rPr>
          <w:rFonts w:eastAsia="標楷體" w:ascii="Times New Roman" w:hAnsi="Times New Roman"/>
          <w:b w:val="0"/>
          <w:i w:val="0"/>
          <w:sz w:val="22"/>
        </w:rPr>
        <w:t xml:space="preserve">　三種等效電路模型：(a) 內阻模型、(b) 戴維寧（一階 RC）模型、(c) 二階 RC 模型</w:t>
      </w:r>
    </w:p>
    <w:p>
      <w:pPr>
        <w:spacing w:before="160" w:after="80" w:lineRule="atLeast" w:line="360"/>
        <w:jc w:val="left"/>
      </w:pPr>
      <w:r>
        <w:rPr>
          <w:rFonts w:eastAsia="標楷體" w:ascii="Times New Roman" w:hAnsi="Times New Roman"/>
          <w:b/>
          <w:i w:val="0"/>
          <w:sz w:val="26"/>
        </w:rPr>
        <w:t>2.1.2 內阻模型（Rint Model）</w:t>
      </w:r>
    </w:p>
    <w:p>
      <w:pPr>
        <w:spacing w:lineRule="atLeast" w:line="480"/>
        <w:ind w:firstLine="480"/>
        <w:jc w:val="both"/>
      </w:pPr>
      <w:r>
        <w:rPr>
          <w:rFonts w:eastAsia="標楷體" w:ascii="Times New Roman" w:hAnsi="Times New Roman"/>
          <w:b w:val="0"/>
          <w:i w:val="0"/>
          <w:sz w:val="24"/>
        </w:rPr>
        <w:t xml:space="preserve">內阻模型是最簡化的等效電路，以一個理想電壓源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串聯一個歐姆內阻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來描述電池：</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p>
    <w:p>
      <w:pPr>
        <w:spacing w:lineRule="atLeast" w:line="480"/>
        <w:ind w:firstLine="480"/>
        <w:jc w:val="both"/>
      </w:pPr>
      <w:r>
        <w:rPr>
          <w:rFonts w:eastAsia="標楷體" w:ascii="Times New Roman" w:hAnsi="Times New Roman"/>
          <w:b w:val="0"/>
          <w:i w:val="0"/>
          <w:sz w:val="24"/>
        </w:rPr>
        <w:t>此模型僅捕捉歐姆壓降，完全忽略極化的暫態行為。其優點是參數少、運算量極低，適合算力極度受限或僅需粗略估測的場合；缺點是在電流劇烈變化或高 C-rate 工況下誤差顯著，因為它無法表達電壓在電流階躍後的緩慢鬆弛。內阻模型常作為更高階模型的退化特例，或作為理論分析的起點 [4]。</w:t>
      </w:r>
    </w:p>
    <w:p>
      <w:pPr>
        <w:spacing w:before="160" w:after="80" w:lineRule="atLeast" w:line="360"/>
        <w:jc w:val="left"/>
      </w:pPr>
      <w:r>
        <w:rPr>
          <w:rFonts w:eastAsia="標楷體" w:ascii="Times New Roman" w:hAnsi="Times New Roman"/>
          <w:b/>
          <w:i w:val="0"/>
          <w:sz w:val="26"/>
        </w:rPr>
        <w:t>2.1.3 戴維寧／一階 RC 模型（Thevenin / 1-RC Model）</w:t>
      </w:r>
    </w:p>
    <w:p>
      <w:pPr>
        <w:spacing w:lineRule="atLeast" w:line="480"/>
        <w:ind w:firstLine="480"/>
        <w:jc w:val="both"/>
      </w:pPr>
      <w:r>
        <w:rPr>
          <w:rFonts w:eastAsia="標楷體" w:ascii="Times New Roman" w:hAnsi="Times New Roman"/>
          <w:b w:val="0"/>
          <w:i w:val="0"/>
          <w:sz w:val="24"/>
        </w:rPr>
        <w:t xml:space="preserve">為描述極化的暫態，戴維寧模型在內阻模型之上串聯一組並聯的 RC 網路（極化電阻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與極化電容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），以一個時間常數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近似電荷轉移與擴散的鬆弛過程：</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一階 RC 模型在精度與複雜度之間取得了良好折衷，能合理重現電流階躍後的電壓回彈，是嵌入式 SOC 估測（尤其搭配卡爾曼濾波器）最常採用的模型結構之一 [4]。其狀態通常取為 </w:t>
      </w:r>
      <w:r>
        <w:rPr>
          <w:rFonts w:eastAsia="標楷體" w:ascii="Times New Roman" w:hAnsi="Times New Roman"/>
          <w:b w:val="0"/>
          <w:i w:val="0"/>
          <w:sz w:val="24"/>
        </w:rPr>
        <w:t xml:space="preserve">[SOC,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，恰可納入狀態空間框架，故與 EKF 的搭配在工業界相當普遍。</w:t>
      </w:r>
    </w:p>
    <w:p>
      <w:pPr>
        <w:spacing w:before="160" w:after="80" w:lineRule="atLeast" w:line="360"/>
        <w:jc w:val="left"/>
      </w:pPr>
      <w:r>
        <w:rPr>
          <w:rFonts w:eastAsia="標楷體" w:ascii="Times New Roman" w:hAnsi="Times New Roman"/>
          <w:b/>
          <w:i w:val="0"/>
          <w:sz w:val="26"/>
        </w:rPr>
        <w:t>2.1.4 二階 RC／雙極化模型（2-RC / DP Model）</w:t>
      </w:r>
    </w:p>
    <w:p>
      <w:pPr>
        <w:spacing w:lineRule="atLeast" w:line="480"/>
        <w:ind w:firstLine="480"/>
        <w:jc w:val="both"/>
      </w:pPr>
      <w:r>
        <w:rPr>
          <w:rFonts w:eastAsia="標楷體" w:ascii="Times New Roman" w:hAnsi="Times New Roman"/>
          <w:b w:val="0"/>
          <w:i w:val="0"/>
          <w:sz w:val="24"/>
        </w:rPr>
        <w:t xml:space="preserve">當需要同時刻畫快、慢兩種時間尺度的極化過程時，可採用串聯兩組 RC 網路的二階 RC 模型（又稱雙極化模型，Dual-Polarization）：以較小的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描述電荷轉移的快速極化、較大的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2</w:t>
      </w:r>
      <w:r>
        <w:rPr>
          <w:rFonts w:eastAsia="標楷體" w:ascii="Times New Roman" w:hAnsi="Times New Roman"/>
          <w:b w:val="0"/>
          <w:i w:val="0"/>
          <w:sz w:val="24"/>
        </w:rPr>
        <w:t xml:space="preserve"> 描述濃度擴散的緩慢極化。二階 RC 模型在寬電流範圍與全 SOC 區段的端電壓擬合精度優於一階模型，代價是多出兩個待辨識參數與一個狀態變數，運算與參數辨識成本相應提高，在算力受限的 MCU 上需審慎評估其效益是否值得 [4]。</w:t>
      </w:r>
    </w:p>
    <w:p>
      <w:pPr>
        <w:spacing w:lineRule="atLeast" w:line="480"/>
        <w:ind w:firstLine="480"/>
        <w:jc w:val="both"/>
      </w:pPr>
      <w:r>
        <w:rPr>
          <w:rFonts w:eastAsia="標楷體" w:ascii="Times New Roman" w:hAnsi="Times New Roman"/>
          <w:b w:val="0"/>
          <w:i w:val="0"/>
          <w:sz w:val="24"/>
        </w:rPr>
        <w:t>三種等效電路模型的取捨可整理如下表：</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1"/>
        <w:gridCol w:w="2276"/>
        <w:gridCol w:w="3161"/>
        <w:gridCol w:w="885"/>
        <w:gridCol w:w="1267"/>
      </w:tblGrid>
      <w:tr>
        <w:tc>
          <w:tcPr>
            <w:tcW w:type="dxa" w:w="1011"/>
            <w:shd w:val="clear" w:color="auto" w:fill="D9E2F3"/>
            <w:vAlign w:val="center"/>
          </w:tcPr>
          <w:p>
            <w:pPr>
              <w:spacing w:before="20" w:after="20" w:lineRule="atLeast" w:line="280"/>
              <w:jc w:val="center"/>
            </w:pPr>
            <w:r>
              <w:rPr>
                <w:rFonts w:eastAsia="標楷體" w:ascii="Times New Roman" w:hAnsi="Times New Roman"/>
                <w:b/>
                <w:i w:val="0"/>
                <w:sz w:val="21"/>
              </w:rPr>
              <w:t>模型</w:t>
            </w:r>
          </w:p>
        </w:tc>
        <w:tc>
          <w:tcPr>
            <w:tcW w:type="dxa" w:w="2276"/>
            <w:shd w:val="clear" w:color="auto" w:fill="D9E2F3"/>
            <w:vAlign w:val="center"/>
          </w:tcPr>
          <w:p>
            <w:pPr>
              <w:spacing w:before="20" w:after="20" w:lineRule="atLeast" w:line="280"/>
              <w:jc w:val="center"/>
            </w:pPr>
            <w:r>
              <w:rPr>
                <w:rFonts w:eastAsia="標楷體" w:ascii="Times New Roman" w:hAnsi="Times New Roman"/>
                <w:b/>
                <w:i w:val="0"/>
                <w:sz w:val="21"/>
              </w:rPr>
              <w:t>狀態維度</w:t>
            </w:r>
          </w:p>
        </w:tc>
        <w:tc>
          <w:tcPr>
            <w:tcW w:type="dxa" w:w="3161"/>
            <w:shd w:val="clear" w:color="auto" w:fill="D9E2F3"/>
            <w:vAlign w:val="center"/>
          </w:tcPr>
          <w:p>
            <w:pPr>
              <w:spacing w:before="20" w:after="20" w:lineRule="atLeast" w:line="280"/>
              <w:jc w:val="center"/>
            </w:pPr>
            <w:r>
              <w:rPr>
                <w:rFonts w:eastAsia="標楷體" w:ascii="Times New Roman" w:hAnsi="Times New Roman"/>
                <w:b/>
                <w:i w:val="0"/>
                <w:sz w:val="21"/>
              </w:rPr>
              <w:t>參數量</w:t>
            </w:r>
          </w:p>
        </w:tc>
        <w:tc>
          <w:tcPr>
            <w:tcW w:type="dxa" w:w="885"/>
            <w:shd w:val="clear" w:color="auto" w:fill="D9E2F3"/>
            <w:vAlign w:val="center"/>
          </w:tcPr>
          <w:p>
            <w:pPr>
              <w:spacing w:before="20" w:after="20" w:lineRule="atLeast" w:line="280"/>
              <w:jc w:val="center"/>
            </w:pPr>
            <w:r>
              <w:rPr>
                <w:rFonts w:eastAsia="標楷體" w:ascii="Times New Roman" w:hAnsi="Times New Roman"/>
                <w:b/>
                <w:i w:val="0"/>
                <w:sz w:val="21"/>
              </w:rPr>
              <w:t>暫態描述能力</w:t>
            </w:r>
          </w:p>
        </w:tc>
        <w:tc>
          <w:tcPr>
            <w:tcW w:type="dxa" w:w="1267"/>
            <w:shd w:val="clear" w:color="auto" w:fill="D9E2F3"/>
            <w:vAlign w:val="center"/>
          </w:tcPr>
          <w:p>
            <w:pPr>
              <w:spacing w:before="20" w:after="20" w:lineRule="atLeast" w:line="280"/>
              <w:jc w:val="center"/>
            </w:pPr>
            <w:r>
              <w:rPr>
                <w:rFonts w:eastAsia="標楷體" w:ascii="Times New Roman" w:hAnsi="Times New Roman"/>
                <w:b/>
                <w:i w:val="0"/>
                <w:sz w:val="21"/>
              </w:rPr>
              <w:t>嵌入式適用性</w:t>
            </w:r>
          </w:p>
        </w:tc>
      </w:tr>
      <w:tr>
        <w:tc>
          <w:tcPr>
            <w:tcW w:type="dxa" w:w="1011"/>
            <w:vAlign w:val="center"/>
          </w:tcPr>
          <w:p>
            <w:pPr>
              <w:spacing w:before="20" w:after="20" w:lineRule="atLeast" w:line="280"/>
              <w:jc w:val="left"/>
            </w:pPr>
            <w:r>
              <w:rPr>
                <w:rFonts w:eastAsia="標楷體" w:ascii="Times New Roman" w:hAnsi="Times New Roman"/>
                <w:b w:val="0"/>
                <w:i w:val="0"/>
                <w:sz w:val="21"/>
              </w:rPr>
              <w:t>內阻 Rint</w:t>
            </w:r>
          </w:p>
        </w:tc>
        <w:tc>
          <w:tcPr>
            <w:tcW w:type="dxa" w:w="2276"/>
            <w:vAlign w:val="center"/>
          </w:tcPr>
          <w:p>
            <w:pPr>
              <w:spacing w:before="20" w:after="20" w:lineRule="atLeast" w:line="280"/>
              <w:jc w:val="left"/>
            </w:pPr>
            <w:r>
              <w:rPr>
                <w:rFonts w:eastAsia="標楷體" w:ascii="Times New Roman" w:hAnsi="Times New Roman"/>
                <w:b w:val="0"/>
                <w:i w:val="0"/>
                <w:sz w:val="21"/>
              </w:rPr>
              <w:t>1（SOC）</w:t>
            </w:r>
          </w:p>
        </w:tc>
        <w:tc>
          <w:tcPr>
            <w:tcW w:type="dxa" w:w="3161"/>
            <w:vAlign w:val="center"/>
          </w:tcPr>
          <w:p>
            <w:pPr>
              <w:spacing w:before="20" w:after="20" w:lineRule="atLeast" w:line="280"/>
              <w:jc w:val="left"/>
            </w:pPr>
            <w:r>
              <w:rPr>
                <w:rFonts w:eastAsia="標楷體" w:ascii="Times New Roman" w:hAnsi="Times New Roman"/>
                <w:b w:val="0"/>
                <w:i w:val="0"/>
                <w:sz w:val="21"/>
              </w:rPr>
              <w:t>R_0</w:t>
            </w:r>
          </w:p>
        </w:tc>
        <w:tc>
          <w:tcPr>
            <w:tcW w:type="dxa" w:w="885"/>
            <w:vAlign w:val="center"/>
          </w:tcPr>
          <w:p>
            <w:pPr>
              <w:spacing w:before="20" w:after="20" w:lineRule="atLeast" w:line="280"/>
              <w:jc w:val="left"/>
            </w:pPr>
            <w:r>
              <w:rPr>
                <w:rFonts w:eastAsia="標楷體" w:ascii="Times New Roman" w:hAnsi="Times New Roman"/>
                <w:b w:val="0"/>
                <w:i w:val="0"/>
                <w:sz w:val="21"/>
              </w:rPr>
              <w:t>無（僅歐姆）</w:t>
            </w:r>
          </w:p>
        </w:tc>
        <w:tc>
          <w:tcPr>
            <w:tcW w:type="dxa" w:w="1267"/>
            <w:vAlign w:val="center"/>
          </w:tcPr>
          <w:p>
            <w:pPr>
              <w:spacing w:before="20" w:after="20" w:lineRule="atLeast" w:line="280"/>
              <w:jc w:val="left"/>
            </w:pPr>
            <w:r>
              <w:rPr>
                <w:rFonts w:eastAsia="標楷體" w:ascii="Times New Roman" w:hAnsi="Times New Roman"/>
                <w:b w:val="0"/>
                <w:i w:val="0"/>
                <w:sz w:val="21"/>
              </w:rPr>
              <w:t>極佳，但動態誤差大</w:t>
            </w:r>
          </w:p>
        </w:tc>
      </w:tr>
      <w:tr>
        <w:tc>
          <w:tcPr>
            <w:tcW w:type="dxa" w:w="1011"/>
            <w:vAlign w:val="center"/>
          </w:tcPr>
          <w:p>
            <w:pPr>
              <w:spacing w:before="20" w:after="20" w:lineRule="atLeast" w:line="280"/>
              <w:jc w:val="left"/>
            </w:pPr>
            <w:r>
              <w:rPr>
                <w:rFonts w:eastAsia="標楷體" w:ascii="Times New Roman" w:hAnsi="Times New Roman"/>
                <w:b w:val="0"/>
                <w:i w:val="0"/>
                <w:sz w:val="21"/>
              </w:rPr>
              <w:t>戴維寧 1-RC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2（SOC, </w:t>
            </w:r>
            <w:r>
              <w:rPr>
                <w:rFonts w:eastAsia="標楷體" w:ascii="Times New Roman" w:hAnsi="Times New Roman"/>
                <w:b w:val="0"/>
                <w:i w:val="0"/>
                <w:sz w:val="21"/>
              </w:rPr>
              <w:t>V_1</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w:t>
            </w:r>
          </w:p>
        </w:tc>
        <w:tc>
          <w:tcPr>
            <w:tcW w:type="dxa" w:w="885"/>
            <w:vAlign w:val="center"/>
          </w:tcPr>
          <w:p>
            <w:pPr>
              <w:spacing w:before="20" w:after="20" w:lineRule="atLeast" w:line="280"/>
              <w:jc w:val="left"/>
            </w:pPr>
            <w:r>
              <w:rPr>
                <w:rFonts w:eastAsia="標楷體" w:ascii="Times New Roman" w:hAnsi="Times New Roman"/>
                <w:b w:val="0"/>
                <w:i w:val="0"/>
                <w:sz w:val="21"/>
              </w:rPr>
              <w:t>單一時間常數</w:t>
            </w:r>
          </w:p>
        </w:tc>
        <w:tc>
          <w:tcPr>
            <w:tcW w:type="dxa" w:w="1267"/>
            <w:vAlign w:val="center"/>
          </w:tcPr>
          <w:p>
            <w:pPr>
              <w:spacing w:before="20" w:after="20" w:lineRule="atLeast" w:line="280"/>
              <w:jc w:val="left"/>
            </w:pPr>
            <w:r>
              <w:rPr>
                <w:rFonts w:eastAsia="標楷體" w:ascii="Times New Roman" w:hAnsi="Times New Roman"/>
                <w:b w:val="0"/>
                <w:i w:val="0"/>
                <w:sz w:val="21"/>
              </w:rPr>
              <w:t>佳，精度／成本平衡點</w:t>
            </w:r>
          </w:p>
        </w:tc>
      </w:tr>
      <w:tr>
        <w:tc>
          <w:tcPr>
            <w:tcW w:type="dxa" w:w="1011"/>
            <w:vAlign w:val="center"/>
          </w:tcPr>
          <w:p>
            <w:pPr>
              <w:spacing w:before="20" w:after="20" w:lineRule="atLeast" w:line="280"/>
              <w:jc w:val="left"/>
            </w:pPr>
            <w:r>
              <w:rPr>
                <w:rFonts w:eastAsia="標楷體" w:ascii="Times New Roman" w:hAnsi="Times New Roman"/>
                <w:b w:val="0"/>
                <w:i w:val="0"/>
                <w:sz w:val="21"/>
              </w:rPr>
              <w:t>二階 2-RC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3（SOC, </w:t>
            </w:r>
            <w:r>
              <w:rPr>
                <w:rFonts w:eastAsia="標楷體" w:ascii="Times New Roman" w:hAnsi="Times New Roman"/>
                <w:b w:val="0"/>
                <w:i w:val="0"/>
                <w:sz w:val="21"/>
              </w:rPr>
              <w:t>V_1, V_2</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 R_2, C_2</w:t>
            </w:r>
          </w:p>
        </w:tc>
        <w:tc>
          <w:tcPr>
            <w:tcW w:type="dxa" w:w="885"/>
            <w:vAlign w:val="center"/>
          </w:tcPr>
          <w:p>
            <w:pPr>
              <w:spacing w:before="20" w:after="20" w:lineRule="atLeast" w:line="280"/>
              <w:jc w:val="left"/>
            </w:pPr>
            <w:r>
              <w:rPr>
                <w:rFonts w:eastAsia="標楷體" w:ascii="Times New Roman" w:hAnsi="Times New Roman"/>
                <w:b w:val="0"/>
                <w:i w:val="0"/>
                <w:sz w:val="21"/>
              </w:rPr>
              <w:t>快慢雙時間常數</w:t>
            </w:r>
          </w:p>
        </w:tc>
        <w:tc>
          <w:tcPr>
            <w:tcW w:type="dxa" w:w="1267"/>
            <w:vAlign w:val="center"/>
          </w:tcPr>
          <w:p>
            <w:pPr>
              <w:spacing w:before="20" w:after="20" w:lineRule="atLeast" w:line="280"/>
              <w:jc w:val="left"/>
            </w:pPr>
            <w:r>
              <w:rPr>
                <w:rFonts w:eastAsia="標楷體" w:ascii="Times New Roman" w:hAnsi="Times New Roman"/>
                <w:b w:val="0"/>
                <w:i w:val="0"/>
                <w:sz w:val="21"/>
              </w:rPr>
              <w:t>中，精度高但成本較高</w:t>
            </w:r>
          </w:p>
        </w:tc>
      </w:tr>
    </w:tbl>
    <w:p>
      <w:pPr>
        <w:spacing w:lineRule="atLeast" w:line="480"/>
        <w:ind w:firstLine="480"/>
        <w:jc w:val="both"/>
      </w:pPr>
      <w:r>
        <w:rPr>
          <w:rFonts w:eastAsia="標楷體" w:ascii="Times New Roman" w:hAnsi="Times New Roman"/>
          <w:b w:val="0"/>
          <w:i w:val="0"/>
          <w:sz w:val="24"/>
        </w:rPr>
        <w:t>本論文於第四章實作 EKF 時，將以一階 RC 模型作為基礎結構，理由是其狀態維度低、參數辨識相對容易，且在本研究單一 NMC 電池、室溫條件下已足以支撐合理的端電壓重建（詳見第四章）。</w:t>
      </w:r>
    </w:p>
    <w:p>
      <w:pPr>
        <w:spacing w:before="240" w:after="120" w:lineRule="atLeast" w:line="360"/>
        <w:jc w:val="left"/>
      </w:pPr>
      <w:r>
        <w:rPr>
          <w:rFonts w:eastAsia="標楷體" w:ascii="Times New Roman" w:hAnsi="Times New Roman"/>
          <w:b/>
          <w:i w:val="0"/>
          <w:sz w:val="28"/>
        </w:rPr>
        <w:t>2.2 SOC 估測方法分類</w:t>
      </w:r>
    </w:p>
    <w:p>
      <w:pPr>
        <w:spacing w:lineRule="atLeast" w:line="480"/>
        <w:ind w:firstLine="480"/>
        <w:jc w:val="both"/>
      </w:pPr>
      <w:r>
        <w:rPr>
          <w:rFonts w:eastAsia="標楷體" w:ascii="Times New Roman" w:hAnsi="Times New Roman"/>
          <w:b w:val="0"/>
          <w:i w:val="0"/>
          <w:sz w:val="24"/>
        </w:rPr>
        <w:t>承第一章所述，SOC 為電池內部狀態，無法直接量測，僅能由端電壓、電流與溫度等可量測量間接推估 [1]。文獻中的 SOC 估測方法眾多，依其推估原理大致可分為兩類：（一）</w:t>
      </w:r>
      <w:r>
        <w:rPr>
          <w:rFonts w:eastAsia="標楷體" w:ascii="Times New Roman" w:hAnsi="Times New Roman"/>
          <w:b/>
          <w:i w:val="0"/>
          <w:sz w:val="24"/>
        </w:rPr>
        <w:t>直接計量法</w:t>
      </w:r>
      <w:r>
        <w:rPr>
          <w:rFonts w:eastAsia="標楷體" w:ascii="Times New Roman" w:hAnsi="Times New Roman"/>
          <w:b w:val="0"/>
          <w:i w:val="0"/>
          <w:sz w:val="24"/>
        </w:rPr>
        <w:t>，包含庫倫計數法與開路電壓查表法，直接由電量或電壓推算 SOC；（二）</w:t>
      </w:r>
      <w:r>
        <w:rPr>
          <w:rFonts w:eastAsia="標楷體" w:ascii="Times New Roman" w:hAnsi="Times New Roman"/>
          <w:b/>
          <w:i w:val="0"/>
          <w:sz w:val="24"/>
        </w:rPr>
        <w:t>模型基礎法</w:t>
      </w:r>
      <w:r>
        <w:rPr>
          <w:rFonts w:eastAsia="標楷體" w:ascii="Times New Roman" w:hAnsi="Times New Roman"/>
          <w:b w:val="0"/>
          <w:i w:val="0"/>
          <w:sz w:val="24"/>
        </w:rPr>
        <w:t>，以等效電路模型搭配狀態估測器（如卡爾曼濾波器族）或以電氣特性變化量推估 SOC（如動態阻抗法）。本節依此分類逐一回顧，並在每種方法後標註其在精度、強健性與嵌入式資源上的特性，為 2.4 節的方法選擇鋪陳依據。</w:t>
      </w:r>
    </w:p>
    <w:p>
      <w:pPr>
        <w:spacing w:before="160" w:after="80" w:lineRule="atLeast" w:line="360"/>
        <w:jc w:val="left"/>
      </w:pPr>
      <w:r>
        <w:rPr>
          <w:rFonts w:eastAsia="標楷體" w:ascii="Times New Roman" w:hAnsi="Times New Roman"/>
          <w:b/>
          <w:i w:val="0"/>
          <w:sz w:val="26"/>
        </w:rPr>
        <w:t>2.2.1 庫倫計數法（Coulomb Counting）</w:t>
      </w:r>
    </w:p>
    <w:p>
      <w:pPr>
        <w:spacing w:lineRule="atLeast" w:line="480"/>
        <w:ind w:firstLine="480"/>
        <w:jc w:val="both"/>
      </w:pPr>
      <w:r>
        <w:rPr>
          <w:rFonts w:eastAsia="標楷體" w:ascii="Times New Roman" w:hAnsi="Times New Roman"/>
          <w:b w:val="0"/>
          <w:i w:val="0"/>
          <w:sz w:val="24"/>
        </w:rPr>
        <w:t>庫倫計數法（又稱安時積分法）是最直接的 SOC 計量方式，其原理為對流經電池的電流積分以累計電量變化：</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為電流（放電為正）[2]。庫倫計數法的優點是原理單純、運算量極低、瞬時動態響應好，且在電流量測準確時短時間內精度甚高，因此在本論文中兼任三種方法比較的 </w:t>
      </w:r>
      <w:r>
        <w:rPr>
          <w:rFonts w:eastAsia="標楷體" w:ascii="Times New Roman" w:hAnsi="Times New Roman"/>
          <w:b/>
          <w:i w:val="0"/>
          <w:sz w:val="24"/>
        </w:rPr>
        <w:t>基準真值（ground truth）</w:t>
      </w:r>
      <w:r>
        <w:rPr>
          <w:rFonts w:eastAsia="標楷體" w:ascii="Times New Roman" w:hAnsi="Times New Roman"/>
          <w:b w:val="0"/>
          <w:i w:val="0"/>
          <w:sz w:val="24"/>
        </w:rPr>
        <w:t>——以高精度 INA226 校正後的電流積分作為其他方法的精度對照（詳見第三、四章）。</w:t>
      </w:r>
    </w:p>
    <w:p>
      <w:pPr>
        <w:spacing w:lineRule="atLeast" w:line="480"/>
        <w:ind w:firstLine="480"/>
        <w:jc w:val="both"/>
      </w:pPr>
      <w:r>
        <w:rPr>
          <w:rFonts w:eastAsia="標楷體" w:ascii="Times New Roman" w:hAnsi="Times New Roman"/>
          <w:b w:val="0"/>
          <w:i w:val="0"/>
          <w:sz w:val="24"/>
        </w:rPr>
        <w:t>然而庫倫計數法存在三項根本弱點，使其無法單獨長期可靠運行 [2]：</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依賴準確初始值</w:t>
      </w:r>
      <w:r>
        <w:rPr>
          <w:rFonts w:eastAsia="標楷體" w:ascii="Times New Roman" w:hAnsi="Times New Roman"/>
          <w:b w:val="0"/>
          <w:i w:val="0"/>
          <w:sz w:val="24"/>
        </w:rPr>
        <w:t xml:space="preserve">：積分式以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為起點，若初值未知或錯誤，誤差將永久存在於後續所有估測中。</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誤差累積（drift）</w:t>
      </w:r>
      <w:r>
        <w:rPr>
          <w:rFonts w:eastAsia="標楷體" w:ascii="Times New Roman" w:hAnsi="Times New Roman"/>
          <w:b w:val="0"/>
          <w:i w:val="0"/>
          <w:sz w:val="24"/>
        </w:rPr>
        <w:t>：電流量測的微小偏移（offset）會被時間積分持續放大，長時間運行後 SOC 將緩慢漂移而無自我修正能力。</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容量衰退</w:t>
      </w:r>
      <w:r>
        <w:rPr>
          <w:rFonts w:eastAsia="標楷體" w:ascii="Times New Roman" w:hAnsi="Times New Roman"/>
          <w:b w:val="0"/>
          <w:i w:val="0"/>
          <w:sz w:val="24"/>
        </w:rPr>
        <w:t xml:space="preserve">：額定容量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隨溫度、C-rate 與老化而變，若以固定值近似將引入系統性誤差。</w:t>
      </w:r>
    </w:p>
    <w:p>
      <w:pPr>
        <w:spacing w:lineRule="atLeast" w:line="480"/>
        <w:ind w:firstLine="480"/>
        <w:jc w:val="both"/>
      </w:pPr>
      <w:r>
        <w:rPr>
          <w:rFonts w:eastAsia="標楷體" w:ascii="Times New Roman" w:hAnsi="Times New Roman"/>
          <w:b w:val="0"/>
          <w:i w:val="0"/>
          <w:sz w:val="24"/>
        </w:rPr>
        <w:t>正因如此，商用 BMS 鮮少單用庫倫計數，而多以其他方法（如 OCV 修正）週期性校正其累積誤差，詳見 2.3 節。</w:t>
      </w:r>
    </w:p>
    <w:p>
      <w:pPr>
        <w:spacing w:before="160" w:after="80" w:lineRule="atLeast" w:line="360"/>
        <w:jc w:val="left"/>
      </w:pPr>
      <w:r>
        <w:rPr>
          <w:rFonts w:eastAsia="標楷體" w:ascii="Times New Roman" w:hAnsi="Times New Roman"/>
          <w:b/>
          <w:i w:val="0"/>
          <w:sz w:val="26"/>
        </w:rPr>
        <w:t>2.2.2 開路電壓查表法（OCV Look-up）</w:t>
      </w:r>
    </w:p>
    <w:p>
      <w:pPr>
        <w:spacing w:lineRule="atLeast" w:line="480"/>
        <w:ind w:firstLine="480"/>
        <w:jc w:val="both"/>
      </w:pPr>
      <w:r>
        <w:rPr>
          <w:rFonts w:eastAsia="標楷體" w:ascii="Times New Roman" w:hAnsi="Times New Roman"/>
          <w:b w:val="0"/>
          <w:i w:val="0"/>
          <w:sz w:val="24"/>
        </w:rPr>
        <w:t>開路電壓查表法利用 OCV 與 SOC 之間的單調對應關係，先量得電池靜置後的 OCV，再反查預先建立的 OCV–SOC 表得到 SOC。由於該對應關係在固定溫度與化學體系下相當穩定，OCV 查表法可提供「絕對」的 SOC 參考，恰可補庫倫計數「無絕對基準」之不足。</w:t>
      </w:r>
    </w:p>
    <w:p>
      <w:pPr>
        <w:spacing w:lineRule="atLeast" w:line="480"/>
        <w:ind w:firstLine="480"/>
        <w:jc w:val="both"/>
      </w:pPr>
      <w:r>
        <w:rPr>
          <w:rFonts w:eastAsia="標楷體" w:ascii="Times New Roman" w:hAnsi="Times New Roman"/>
          <w:b w:val="0"/>
          <w:i w:val="0"/>
          <w:sz w:val="24"/>
        </w:rPr>
        <w:t>然而 OCV 查表法作為</w:t>
      </w:r>
      <w:r>
        <w:rPr>
          <w:rFonts w:eastAsia="標楷體" w:ascii="Times New Roman" w:hAnsi="Times New Roman"/>
          <w:b/>
          <w:i w:val="0"/>
          <w:sz w:val="24"/>
        </w:rPr>
        <w:t>獨立即時方法</w:t>
      </w:r>
      <w:r>
        <w:rPr>
          <w:rFonts w:eastAsia="標楷體" w:ascii="Times New Roman" w:hAnsi="Times New Roman"/>
          <w:b w:val="0"/>
          <w:i w:val="0"/>
          <w:sz w:val="24"/>
        </w:rPr>
        <w:t>有其根本限制：</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需長時間靜置</w:t>
      </w:r>
      <w:r>
        <w:rPr>
          <w:rFonts w:eastAsia="標楷體" w:ascii="Times New Roman" w:hAnsi="Times New Roman"/>
          <w:b w:val="0"/>
          <w:i w:val="0"/>
          <w:sz w:val="24"/>
        </w:rPr>
        <w:t>：端電壓須待極化過電位充分鬆弛才趨近真實 OCV，文獻指出通常需靜置 2 小時以上，使其無法在電池工作（有負載）時即時運作。</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平台區與遲滯</w:t>
      </w:r>
      <w:r>
        <w:rPr>
          <w:rFonts w:eastAsia="標楷體" w:ascii="Times New Roman" w:hAnsi="Times New Roman"/>
          <w:b w:val="0"/>
          <w:i w:val="0"/>
          <w:sz w:val="24"/>
        </w:rPr>
        <w:t>：部分化學體系（尤以 LFP）的 OCV–SOC 曲線存在電壓平台與充放電遲滯，平台區內微小電壓誤差會對應到極大的 SOC 誤差，使單點查表失準。</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建表成本</w:t>
      </w:r>
      <w:r>
        <w:rPr>
          <w:rFonts w:eastAsia="標楷體" w:ascii="Times New Roman" w:hAnsi="Times New Roman"/>
          <w:b w:val="0"/>
          <w:i w:val="0"/>
          <w:sz w:val="24"/>
        </w:rPr>
        <w:t>：高品質 OCV 表須以小電流斷續滴定（GITT）等標準協定耗時建立。</w:t>
      </w:r>
    </w:p>
    <w:p>
      <w:pPr>
        <w:spacing w:lineRule="atLeast" w:line="480"/>
        <w:ind w:firstLine="480"/>
        <w:jc w:val="both"/>
      </w:pPr>
      <w:r>
        <w:rPr>
          <w:rFonts w:eastAsia="標楷體" w:ascii="Times New Roman" w:hAnsi="Times New Roman"/>
          <w:b w:val="0"/>
          <w:i w:val="0"/>
          <w:sz w:val="24"/>
        </w:rPr>
        <w:t>實務上 OCV 查表極少作為獨立方法使用，而是作為其他方法的</w:t>
      </w:r>
      <w:r>
        <w:rPr>
          <w:rFonts w:eastAsia="標楷體" w:ascii="Times New Roman" w:hAnsi="Times New Roman"/>
          <w:b/>
          <w:i w:val="0"/>
          <w:sz w:val="24"/>
        </w:rPr>
        <w:t>校正錨點</w:t>
      </w:r>
      <w:r>
        <w:rPr>
          <w:rFonts w:eastAsia="標楷體" w:ascii="Times New Roman" w:hAnsi="Times New Roman"/>
          <w:b w:val="0"/>
          <w:i w:val="0"/>
          <w:sz w:val="24"/>
        </w:rPr>
        <w:t>或</w:t>
      </w:r>
      <w:r>
        <w:rPr>
          <w:rFonts w:eastAsia="標楷體" w:ascii="Times New Roman" w:hAnsi="Times New Roman"/>
          <w:b/>
          <w:i w:val="0"/>
          <w:sz w:val="24"/>
        </w:rPr>
        <w:t>觀測依據</w:t>
      </w:r>
      <w:r>
        <w:rPr>
          <w:rFonts w:eastAsia="標楷體" w:ascii="Times New Roman" w:hAnsi="Times New Roman"/>
          <w:b w:val="0"/>
          <w:i w:val="0"/>
          <w:sz w:val="24"/>
        </w:rPr>
        <w:t>。本論文採後者：以 GITT 標準協定建立 pseudo-OCV 表（取放電向與充電向平衡電壓之平均以折衷遲滯），作為第四章 EKF 觀測方程的 OCV–SOC 對應；OCV 查表本身因與本研究的 rate-capability 測試協定不相容，不列入方法比較（決策理由詳見 [論文大綱.md](論文大綱.md) §5）。</w:t>
      </w:r>
    </w:p>
    <w:p>
      <w:pPr>
        <w:spacing w:before="160" w:after="80" w:lineRule="atLeast" w:line="360"/>
        <w:jc w:val="left"/>
      </w:pPr>
      <w:r>
        <w:rPr>
          <w:rFonts w:eastAsia="標楷體" w:ascii="Times New Roman" w:hAnsi="Times New Roman"/>
          <w:b/>
          <w:i w:val="0"/>
          <w:sz w:val="26"/>
        </w:rPr>
        <w:t>2.2.3 卡爾曼濾波器族（KF / EKF / UKF）</w:t>
      </w:r>
    </w:p>
    <w:p>
      <w:pPr>
        <w:spacing w:lineRule="atLeast" w:line="480"/>
        <w:ind w:firstLine="480"/>
        <w:jc w:val="both"/>
      </w:pPr>
      <w:r>
        <w:rPr>
          <w:rFonts w:eastAsia="標楷體" w:ascii="Times New Roman" w:hAnsi="Times New Roman"/>
          <w:b w:val="0"/>
          <w:i w:val="0"/>
          <w:sz w:val="24"/>
        </w:rPr>
        <w:t>卡爾曼濾波器（Kalman Filter, KF）是模型基礎 SOC 估測的代表，其核心思想是將 SOC 視為動態系統的隱藏狀態，透過「模型預測」與「量測更新」兩階段遞迴，在過程雜訊與量測雜訊並存下對狀態做最小均方誤差估測。將等效電路模型寫成離散狀態空間：</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A x</w:t>
      </w:r>
      <w:r>
        <w:rPr>
          <w:rFonts w:eastAsia="標楷體" w:ascii="Cambria Math" w:hAnsi="Cambria Math"/>
          <w:sz w:val="24"/>
          <w:vertAlign w:val="subscript"/>
        </w:rPr>
        <w:t xml:space="preserve">k</w:t>
      </w:r>
      <w:r>
        <w:rPr>
          <w:rFonts w:eastAsia="標楷體" w:ascii="Cambria Math" w:hAnsi="Cambria Math"/>
          <w:sz w:val="24"/>
        </w:rPr>
        <w:t xml:space="preserve"> + B u</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r>
        <w:rPr>
          <w:rFonts w:eastAsia="標楷體" w:ascii="Cambria Math" w:hAnsi="Cambria Math"/>
          <w:sz w:val="24"/>
        </w:rPr>
        <w:t xml:space="preserve"> y</w:t>
      </w:r>
      <w:r>
        <w:rPr>
          <w:rFonts w:eastAsia="標楷體" w:ascii="Cambria Math" w:hAnsi="Cambria Math"/>
          <w:sz w:val="24"/>
          <w:vertAlign w:val="subscript"/>
        </w:rPr>
        <w:t xml:space="preserve">k</w:t>
      </w:r>
      <w:r>
        <w:rPr>
          <w:rFonts w:eastAsia="標楷體" w:ascii="Cambria Math" w:hAnsi="Cambria Math"/>
          <w:sz w:val="24"/>
        </w:rPr>
        <w:t xml:space="preserve"> = g(x</w:t>
      </w:r>
      <w:r>
        <w:rPr>
          <w:rFonts w:eastAsia="標楷體" w:ascii="Cambria Math" w:hAnsi="Cambria Math"/>
          <w:sz w:val="24"/>
          <w:vertAlign w:val="subscript"/>
        </w:rPr>
        <w:t xml:space="preserve">k</w:t>
      </w:r>
      <w:r>
        <w:rPr>
          <w:rFonts w:eastAsia="標楷體" w:ascii="Cambria Math" w:hAnsi="Cambria Math"/>
          <w:sz w:val="24"/>
        </w:rPr>
        <w:t xml:space="preserve">, u</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其中狀態 </w:t>
      </w:r>
      <w:r>
        <w:rPr>
          <w:rFonts w:eastAsia="標楷體" w:ascii="Times New Roman" w:hAnsi="Times New Roman"/>
          <w:b w:val="0"/>
          <w:i w:val="0"/>
          <w:sz w:val="24"/>
        </w:rPr>
        <w:t>x</w:t>
      </w:r>
      <w:r>
        <w:rPr>
          <w:rFonts w:eastAsia="標楷體" w:ascii="Times New Roman" w:hAnsi="Times New Roman"/>
          <w:b w:val="0"/>
          <w:i w:val="0"/>
          <w:sz w:val="24"/>
        </w:rPr>
        <w:t xml:space="preserve"> 含 SOC 與 RC 極化電壓，輸入 </w:t>
      </w:r>
      <w:r>
        <w:rPr>
          <w:rFonts w:eastAsia="標楷體" w:ascii="Times New Roman" w:hAnsi="Times New Roman"/>
          <w:b w:val="0"/>
          <w:i w:val="0"/>
          <w:sz w:val="24"/>
        </w:rPr>
        <w:t>u</w:t>
      </w:r>
      <w:r>
        <w:rPr>
          <w:rFonts w:eastAsia="標楷體" w:ascii="Times New Roman" w:hAnsi="Times New Roman"/>
          <w:b w:val="0"/>
          <w:i w:val="0"/>
          <w:sz w:val="24"/>
        </w:rPr>
        <w:t xml:space="preserve"> 為電流，輸出 </w:t>
      </w:r>
      <w:r>
        <w:rPr>
          <w:rFonts w:eastAsia="標楷體" w:ascii="Times New Roman" w:hAnsi="Times New Roman"/>
          <w:b w:val="0"/>
          <w:i w:val="0"/>
          <w:sz w:val="24"/>
        </w:rPr>
        <w:t>y</w:t>
      </w:r>
      <w:r>
        <w:rPr>
          <w:rFonts w:eastAsia="標楷體" w:ascii="Times New Roman" w:hAnsi="Times New Roman"/>
          <w:b w:val="0"/>
          <w:i w:val="0"/>
          <w:sz w:val="24"/>
        </w:rPr>
        <w:t xml:space="preserve"> 為端電壓，</w:t>
      </w:r>
      <w:r>
        <w:rPr>
          <w:rFonts w:eastAsia="標楷體" w:ascii="Times New Roman" w:hAnsi="Times New Roman"/>
          <w:b w:val="0"/>
          <w:i w:val="0"/>
          <w:sz w:val="24"/>
        </w:rPr>
        <w:t>w, v</w:t>
      </w:r>
      <w:r>
        <w:rPr>
          <w:rFonts w:eastAsia="標楷體" w:ascii="Times New Roman" w:hAnsi="Times New Roman"/>
          <w:b w:val="0"/>
          <w:i w:val="0"/>
          <w:sz w:val="24"/>
        </w:rPr>
        <w:t xml:space="preserve"> 分別為過程與量測雜訊。卡爾曼濾波同時利用「電流積分（模型）」與「端電壓（量測）」兩路資訊，故兼具庫倫計數的良好動態與 OCV 的絕對校正能力，並能在初值錯誤時自我收斂——這正是其相較前兩法的核心優勢。</w:t>
      </w:r>
    </w:p>
    <w:p>
      <w:pPr>
        <w:spacing w:lineRule="atLeast" w:line="480"/>
        <w:ind w:firstLine="480"/>
        <w:jc w:val="both"/>
      </w:pPr>
      <w:r>
        <w:rPr>
          <w:rFonts w:eastAsia="標楷體" w:ascii="Times New Roman" w:hAnsi="Times New Roman"/>
          <w:b w:val="0"/>
          <w:i w:val="0"/>
          <w:sz w:val="24"/>
        </w:rPr>
        <w:t xml:space="preserve">由於電池的觀測方程 </w:t>
      </w:r>
      <w:r>
        <w:rPr>
          <w:rFonts w:eastAsia="標楷體" w:ascii="Times New Roman" w:hAnsi="Times New Roman"/>
          <w:b w:val="0"/>
          <w:i w:val="0"/>
          <w:sz w:val="24"/>
        </w:rPr>
        <w:t>g(·)</w:t>
      </w:r>
      <w:r>
        <w:rPr>
          <w:rFonts w:eastAsia="標楷體" w:ascii="Times New Roman" w:hAnsi="Times New Roman"/>
          <w:b w:val="0"/>
          <w:i w:val="0"/>
          <w:sz w:val="24"/>
        </w:rPr>
        <w:t xml:space="preserve"> 含非線性的 OCV–SOC 關係，標準線性 KF 不適用，實務上採其非線性推廣：</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擴展卡爾曼濾波器（EKF）</w:t>
      </w:r>
      <w:r>
        <w:rPr>
          <w:rFonts w:eastAsia="標楷體" w:ascii="Times New Roman" w:hAnsi="Times New Roman"/>
          <w:b w:val="0"/>
          <w:i w:val="0"/>
          <w:sz w:val="24"/>
        </w:rPr>
        <w:t>：在每一步將非線性函數對當前狀態做一階泰勒展開（雅可比矩陣線性化）後套用 KF 公式。EKF 計算成本適中、實作成熟，是工業界 SOC 估測的事實標準，本論文即選其為三種方法之一。其代價是線性化誤差在強非線性區段（如 OCV 曲線拐點）可能降低精度，且需要可微的 OCV–SOC 函數與 RC 參數。</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無跡卡爾曼濾波器（UKF）</w:t>
      </w:r>
      <w:r>
        <w:rPr>
          <w:rFonts w:eastAsia="標楷體" w:ascii="Times New Roman" w:hAnsi="Times New Roman"/>
          <w:b w:val="0"/>
          <w:i w:val="0"/>
          <w:sz w:val="24"/>
        </w:rPr>
        <w:t>：以無跡轉換（unscented transform）取一組 sigma 點傳遞分佈，避免顯式求雅可比，於強非線性下精度通常優於 EKF，但運算量較高 [3]。</w:t>
      </w:r>
    </w:p>
    <w:p>
      <w:pPr>
        <w:spacing w:lineRule="atLeast" w:line="480"/>
        <w:ind w:firstLine="480"/>
        <w:jc w:val="both"/>
      </w:pPr>
      <w:r>
        <w:rPr>
          <w:rFonts w:eastAsia="標楷體" w:ascii="Times New Roman" w:hAnsi="Times New Roman"/>
          <w:b w:val="0"/>
          <w:i w:val="0"/>
          <w:sz w:val="24"/>
        </w:rPr>
        <w:t>對嵌入式實作而言，EKF 的瓶頸在於矩陣運算（含求逆）與 OCV 函數查表／微分的浮點負擔，其 Flash／RAM 佔用與每次更新的 CPU 週期顯著高於庫倫計數，這正是第四章要量化的關鍵權衡之一。</w:t>
      </w:r>
    </w:p>
    <w:p>
      <w:pPr>
        <w:spacing w:before="160" w:after="80" w:lineRule="atLeast" w:line="360"/>
        <w:jc w:val="left"/>
      </w:pPr>
      <w:r>
        <w:rPr>
          <w:rFonts w:eastAsia="標楷體" w:ascii="Times New Roman" w:hAnsi="Times New Roman"/>
          <w:b/>
          <w:i w:val="0"/>
          <w:sz w:val="26"/>
        </w:rPr>
        <w:t>2.2.4 動態阻抗法（Dynamic Impedance Method）</w:t>
      </w:r>
    </w:p>
    <w:p>
      <w:pPr>
        <w:spacing w:lineRule="atLeast" w:line="480"/>
        <w:ind w:firstLine="480"/>
        <w:jc w:val="both"/>
      </w:pPr>
      <w:r>
        <w:rPr>
          <w:rFonts w:eastAsia="標楷體" w:ascii="Times New Roman" w:hAnsi="Times New Roman"/>
          <w:b w:val="0"/>
          <w:i w:val="0"/>
          <w:sz w:val="24"/>
        </w:rPr>
        <w:t>動態阻抗法 [1] 的出發點是避開「需初始值」與「需長時間靜置」兩大限制，改以電池在工作過程中端電壓對電流的瞬時變化率推估 SOC。其定義動態阻抗為相鄰兩取樣點的電壓變化量與電流變化量之比：</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該文獻的關鍵發現是：動態阻抗與 SOC 之間呈近似</w:t>
      </w:r>
      <w:r>
        <w:rPr>
          <w:rFonts w:eastAsia="標楷體" w:ascii="Times New Roman" w:hAnsi="Times New Roman"/>
          <w:b/>
          <w:i w:val="0"/>
          <w:sz w:val="24"/>
        </w:rPr>
        <w:t>拋物線（parabolic）</w:t>
      </w:r>
      <w:r>
        <w:rPr>
          <w:rFonts w:eastAsia="標楷體" w:ascii="Times New Roman" w:hAnsi="Times New Roman"/>
          <w:b w:val="0"/>
          <w:i w:val="0"/>
          <w:sz w:val="24"/>
        </w:rPr>
        <w:t>關係，可以二次多項式擬合 [1]：</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其物理特徵為：電池在接近滿電（</w:t>
      </w:r>
      <w:r>
        <w:rPr>
          <w:rFonts w:eastAsia="標楷體" w:ascii="Times New Roman" w:hAnsi="Times New Roman"/>
          <w:b w:val="0"/>
          <w:i w:val="0"/>
          <w:sz w:val="24"/>
        </w:rPr>
        <w:t>SOC ≈ 100%</w:t>
      </w:r>
      <w:r>
        <w:rPr>
          <w:rFonts w:eastAsia="標楷體" w:ascii="Times New Roman" w:hAnsi="Times New Roman"/>
          <w:b w:val="0"/>
          <w:i w:val="0"/>
          <w:sz w:val="24"/>
        </w:rPr>
        <w:t>）與接近放空（</w:t>
      </w:r>
      <w:r>
        <w:rPr>
          <w:rFonts w:eastAsia="標楷體" w:ascii="Times New Roman" w:hAnsi="Times New Roman"/>
          <w:b w:val="0"/>
          <w:i w:val="0"/>
          <w:sz w:val="24"/>
        </w:rPr>
        <w:t>SOC ≈ 0%</w:t>
      </w:r>
      <w:r>
        <w:rPr>
          <w:rFonts w:eastAsia="標楷體" w:ascii="Times New Roman" w:hAnsi="Times New Roman"/>
          <w:b w:val="0"/>
          <w:i w:val="0"/>
          <w:sz w:val="24"/>
        </w:rPr>
        <w:t xml:space="preserve">）時動態阻抗較高，而在 </w:t>
      </w:r>
      <w:r>
        <w:rPr>
          <w:rFonts w:eastAsia="標楷體" w:ascii="Times New Roman" w:hAnsi="Times New Roman"/>
          <w:b w:val="0"/>
          <w:i w:val="0"/>
          <w:sz w:val="24"/>
        </w:rPr>
        <w:t>SOC ≈ 50%</w:t>
      </w:r>
      <w:r>
        <w:rPr>
          <w:rFonts w:eastAsia="標楷體" w:ascii="Times New Roman" w:hAnsi="Times New Roman"/>
          <w:b w:val="0"/>
          <w:i w:val="0"/>
          <w:sz w:val="24"/>
        </w:rPr>
        <w:t xml:space="preserve"> 附近達到最小值。由於拋物線為對稱曲線，單一動態阻抗值會對應到兩個可能的 SOC，故該文獻進一步以動態阻抗對 SOC 的變化率（一階導數 </w:t>
      </w:r>
      <w:r>
        <w:rPr>
          <w:rFonts w:eastAsia="標楷體" w:ascii="Times New Roman" w:hAnsi="Times New Roman"/>
          <w:b w:val="0"/>
          <w:i w:val="0"/>
          <w:sz w:val="24"/>
        </w:rPr>
        <w:t>Δ(Δ V/Δ I)/Δ SOC</w:t>
      </w:r>
      <w:r>
        <w:rPr>
          <w:rFonts w:eastAsia="標楷體" w:ascii="Times New Roman" w:hAnsi="Times New Roman"/>
          <w:b w:val="0"/>
          <w:i w:val="0"/>
          <w:sz w:val="24"/>
        </w:rPr>
        <w:t xml:space="preserve"> 的正負）判別位於曲線哪一側，以取得唯一解 [1]。</w:t>
      </w:r>
    </w:p>
    <w:p>
      <w:pPr>
        <w:spacing w:lineRule="atLeast" w:line="480"/>
        <w:ind w:firstLine="480"/>
        <w:jc w:val="both"/>
      </w:pPr>
      <w:r>
        <w:rPr>
          <w:rFonts w:eastAsia="標楷體" w:ascii="Times New Roman" w:hAnsi="Times New Roman"/>
          <w:b w:val="0"/>
          <w:i w:val="0"/>
          <w:sz w:val="24"/>
        </w:rPr>
        <w:t>動態阻抗法的工程優勢明確：</w:t>
      </w:r>
      <w:r>
        <w:rPr>
          <w:rFonts w:eastAsia="標楷體" w:ascii="Times New Roman" w:hAnsi="Times New Roman"/>
          <w:b/>
          <w:i w:val="0"/>
          <w:sz w:val="24"/>
        </w:rPr>
        <w:t>無須初始值</w:t>
      </w:r>
      <w:r>
        <w:rPr>
          <w:rFonts w:eastAsia="標楷體" w:ascii="Times New Roman" w:hAnsi="Times New Roman"/>
          <w:b w:val="0"/>
          <w:i w:val="0"/>
          <w:sz w:val="24"/>
        </w:rPr>
        <w:t>、</w:t>
      </w:r>
      <w:r>
        <w:rPr>
          <w:rFonts w:eastAsia="標楷體" w:ascii="Times New Roman" w:hAnsi="Times New Roman"/>
          <w:b/>
          <w:i w:val="0"/>
          <w:sz w:val="24"/>
        </w:rPr>
        <w:t>可在工作過程即時計算</w:t>
      </w:r>
      <w:r>
        <w:rPr>
          <w:rFonts w:eastAsia="標楷體" w:ascii="Times New Roman" w:hAnsi="Times New Roman"/>
          <w:b w:val="0"/>
          <w:i w:val="0"/>
          <w:sz w:val="24"/>
        </w:rPr>
        <w:t>、運算僅涉及差分與低階多項式求值，</w:t>
      </w:r>
      <w:r>
        <w:rPr>
          <w:rFonts w:eastAsia="標楷體" w:ascii="Times New Roman" w:hAnsi="Times New Roman"/>
          <w:b/>
          <w:i w:val="0"/>
          <w:sz w:val="24"/>
        </w:rPr>
        <w:t>極適合嵌入式實作</w:t>
      </w:r>
      <w:r>
        <w:rPr>
          <w:rFonts w:eastAsia="標楷體" w:ascii="Times New Roman" w:hAnsi="Times New Roman"/>
          <w:b w:val="0"/>
          <w:i w:val="0"/>
          <w:sz w:val="24"/>
        </w:rPr>
        <w:t xml:space="preserve"> [1]。本論文選其為比較對象之一，且現有的跨輪測試協定已對四種放電 C-rate 注入 dV/dI 擾動（每 60 秒步進到 0.2C dwell 1 秒），可直接提供建立 </w:t>
      </w:r>
      <w:r>
        <w:rPr>
          <w:rFonts w:eastAsia="標楷體" w:ascii="Times New Roman" w:hAnsi="Times New Roman"/>
          <w:b w:val="0"/>
          <w:i w:val="0"/>
          <w:sz w:val="24"/>
        </w:rPr>
        <w:t>Δ V/Δ I</w:t>
      </w:r>
      <w:r>
        <w:rPr>
          <w:rFonts w:eastAsia="標楷體" w:ascii="Times New Roman" w:hAnsi="Times New Roman"/>
          <w:b w:val="0"/>
          <w:i w:val="0"/>
          <w:sz w:val="24"/>
        </w:rPr>
        <w:t xml:space="preserve"> 對應所需的擾動數據（詳見第三章）。</w:t>
      </w:r>
    </w:p>
    <w:p>
      <w:pPr>
        <w:spacing w:lineRule="atLeast" w:line="480"/>
        <w:ind w:firstLine="480"/>
        <w:jc w:val="both"/>
      </w:pPr>
      <w:r>
        <w:rPr>
          <w:rFonts w:eastAsia="標楷體" w:ascii="Times New Roman" w:hAnsi="Times New Roman"/>
          <w:b w:val="0"/>
          <w:i w:val="0"/>
          <w:sz w:val="24"/>
        </w:rPr>
        <w:t xml:space="preserve">需補充說明者，該文獻原文同時提出以「投影法（Projection Technique）」由拋物線斜率參數 </w:t>
      </w:r>
      <w:r>
        <w:rPr>
          <w:rFonts w:eastAsia="標楷體" w:ascii="Times New Roman" w:hAnsi="Times New Roman"/>
          <w:b w:val="0"/>
          <w:i w:val="0"/>
          <w:sz w:val="24"/>
        </w:rPr>
        <w:t>a</w:t>
      </w:r>
      <w:r>
        <w:rPr>
          <w:rFonts w:eastAsia="標楷體" w:ascii="Times New Roman" w:hAnsi="Times New Roman"/>
          <w:b w:val="0"/>
          <w:i w:val="0"/>
          <w:sz w:val="24"/>
        </w:rPr>
        <w:t xml:space="preserve"> 隨老化的變化推估 SOH——其以三角函數定義 </w:t>
      </w:r>
      <w:r>
        <w:rPr>
          <w:rFonts w:eastAsia="標楷體" w:ascii="Times New Roman" w:hAnsi="Times New Roman"/>
          <w:b w:val="0"/>
          <w:i w:val="0"/>
          <w:sz w:val="24"/>
        </w:rPr>
        <w:t xml:space="preserve">SOH = cos(tan⁻¹ a</w:t>
      </w:r>
      <w:r>
        <w:rPr>
          <w:rFonts w:eastAsia="標楷體" w:ascii="Times New Roman" w:hAnsi="Times New Roman"/>
          <w:b w:val="0"/>
          <w:i w:val="0"/>
          <w:sz w:val="24"/>
          <w:vertAlign w:val="subscript"/>
        </w:rPr>
        <w:t xml:space="preserve">now</w:t>
      </w:r>
      <w:r>
        <w:rPr>
          <w:rFonts w:eastAsia="標楷體" w:ascii="Times New Roman" w:hAnsi="Times New Roman"/>
          <w:b w:val="0"/>
          <w:i w:val="0"/>
          <w:sz w:val="24"/>
        </w:rPr>
        <w:t xml:space="preserve">) / cos(tan⁻¹ a</w:t>
      </w:r>
      <w:r>
        <w:rPr>
          <w:rFonts w:eastAsia="標楷體" w:ascii="Times New Roman" w:hAnsi="Times New Roman"/>
          <w:b w:val="0"/>
          <w:i w:val="0"/>
          <w:sz w:val="24"/>
          <w:vertAlign w:val="subscript"/>
        </w:rPr>
        <w:t xml:space="preserve">origin</w:t>
      </w:r>
      <w:r>
        <w:rPr>
          <w:rFonts w:eastAsia="標楷體" w:ascii="Times New Roman" w:hAnsi="Times New Roman"/>
          <w:b w:val="0"/>
          <w:i w:val="0"/>
          <w:sz w:val="24"/>
        </w:rPr>
        <w:t xml:space="preserve">) × 100%</w:t>
      </w:r>
      <w:r>
        <w:rPr>
          <w:rFonts w:eastAsia="標楷體" w:ascii="Times New Roman" w:hAnsi="Times New Roman"/>
          <w:b w:val="0"/>
          <w:i w:val="0"/>
          <w:sz w:val="24"/>
        </w:rPr>
        <w:t>，並於 ICR18650-22P 電池上量得新品、老化電池 1、老化電池 2 之可用容量分別約為標稱的 93.9%、89.1%、84.8% [1]。惟本論文範圍聚焦 SOC，投影法 SOH 估測列為未來工作（第六章），此處僅為完整呈現該文獻方法而並陳。</w:t>
      </w:r>
    </w:p>
    <w:p>
      <w:pPr>
        <w:spacing w:before="240" w:after="120" w:lineRule="atLeast" w:line="360"/>
        <w:jc w:val="left"/>
      </w:pPr>
      <w:r>
        <w:rPr>
          <w:rFonts w:eastAsia="標楷體" w:ascii="Times New Roman" w:hAnsi="Times New Roman"/>
          <w:b/>
          <w:i w:val="0"/>
          <w:sz w:val="28"/>
        </w:rPr>
        <w:t>2.3 嵌入式 BMS 商用 IC 之演算法選擇</w:t>
      </w:r>
    </w:p>
    <w:p>
      <w:pPr>
        <w:spacing w:lineRule="atLeast" w:line="480"/>
        <w:ind w:firstLine="480"/>
        <w:jc w:val="both"/>
      </w:pPr>
      <w:r>
        <w:rPr>
          <w:rFonts w:eastAsia="標楷體" w:ascii="Times New Roman" w:hAnsi="Times New Roman"/>
          <w:b w:val="0"/>
          <w:i w:val="0"/>
          <w:sz w:val="24"/>
        </w:rPr>
        <w:t>回顧上述方法後，一個對工程實務極具參考價值的觀察是：在資源受限的商用 BMS 晶片中，被廣泛採用的並非理論上最精確的方法。市面主流的電量計（fuel gauge）IC——如德州儀器 bq2x 系列、Maxim（ADI）ModelGauge 系列等——普遍採用</w:t>
      </w:r>
      <w:r>
        <w:rPr>
          <w:rFonts w:eastAsia="標楷體" w:ascii="Times New Roman" w:hAnsi="Times New Roman"/>
          <w:b/>
          <w:i w:val="0"/>
          <w:sz w:val="24"/>
        </w:rPr>
        <w:t>庫倫計數搭配 OCV 週期性修正</w:t>
      </w:r>
      <w:r>
        <w:rPr>
          <w:rFonts w:eastAsia="標楷體" w:ascii="Times New Roman" w:hAnsi="Times New Roman"/>
          <w:b w:val="0"/>
          <w:i w:val="0"/>
          <w:sz w:val="24"/>
        </w:rPr>
        <w:t>的混合策略：以庫倫計數提供良好的瞬時動態，並在電池進入靜置（電流趨近零）時以 OCV 查表修正其累積漂移，部分產品再輔以簡化的電壓-電流模型補償極化 [3]。</w:t>
      </w:r>
    </w:p>
    <w:p>
      <w:pPr>
        <w:spacing w:lineRule="atLeast" w:line="480"/>
        <w:ind w:firstLine="480"/>
        <w:jc w:val="both"/>
      </w:pPr>
      <w:r>
        <w:rPr>
          <w:rFonts w:eastAsia="標楷體" w:ascii="Times New Roman" w:hAnsi="Times New Roman"/>
          <w:b w:val="0"/>
          <w:i w:val="0"/>
          <w:sz w:val="24"/>
        </w:rPr>
        <w:t>商用 IC 之所以普遍捨棄理論上更精確的 EKF，背後正是 Flash、RAM、算力與成本之間的工程權衡：完整 EKF 的矩陣運算與浮點負擔，對以成本與功耗為優先的電量計 IC 而言代價過高，而「庫倫計數＋OCV 修正」已能在多數消費級應用達到可接受精度。然而這項權衡在學術文獻中極少被以同一硬體上的實測 Flash／RAM／CPU 週期數據呈現——這正是本論文第四章欲填補的缺口，亦呼應第一章所述之研究動機。</w:t>
      </w:r>
    </w:p>
    <w:p>
      <w:pPr>
        <w:spacing w:before="240" w:after="120" w:lineRule="atLeast" w:line="360"/>
        <w:jc w:val="left"/>
      </w:pPr>
      <w:r>
        <w:rPr>
          <w:rFonts w:eastAsia="標楷體" w:ascii="Times New Roman" w:hAnsi="Times New Roman"/>
          <w:b/>
          <w:i w:val="0"/>
          <w:sz w:val="28"/>
        </w:rPr>
        <w:t>2.4 本文方法選擇依據</w:t>
      </w:r>
    </w:p>
    <w:p>
      <w:pPr>
        <w:spacing w:lineRule="atLeast" w:line="480"/>
        <w:ind w:firstLine="480"/>
        <w:jc w:val="both"/>
      </w:pPr>
      <w:r>
        <w:rPr>
          <w:rFonts w:eastAsia="標楷體" w:ascii="Times New Roman" w:hAnsi="Times New Roman"/>
          <w:b w:val="0"/>
          <w:i w:val="0"/>
          <w:sz w:val="24"/>
        </w:rPr>
        <w:t>綜合 2.1–2.3 節，本論文自上述方法中選定</w:t>
      </w:r>
      <w:r>
        <w:rPr>
          <w:rFonts w:eastAsia="標楷體" w:ascii="Times New Roman" w:hAnsi="Times New Roman"/>
          <w:b/>
          <w:i w:val="0"/>
          <w:sz w:val="24"/>
        </w:rPr>
        <w:t>庫倫計數法、擴展卡爾曼濾波器、動態阻抗法</w:t>
      </w:r>
      <w:r>
        <w:rPr>
          <w:rFonts w:eastAsia="標楷體" w:ascii="Times New Roman" w:hAnsi="Times New Roman"/>
          <w:b w:val="0"/>
          <w:i w:val="0"/>
          <w:sz w:val="24"/>
        </w:rPr>
        <w:t>三者進行嵌入式實作與公平比較，並排除獨立使用之 OCV 查表。選擇與排除的依據整理如下表（對應 [論文大綱.md](論文大綱.md) §4）：</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8"/>
        <w:gridCol w:w="600"/>
        <w:gridCol w:w="600"/>
        <w:gridCol w:w="6412"/>
      </w:tblGrid>
      <w:tr>
        <w:tc>
          <w:tcPr>
            <w:tcW w:type="dxa" w:w="988"/>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是否實作</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6412"/>
            <w:shd w:val="clear" w:color="auto" w:fill="D9E2F3"/>
            <w:vAlign w:val="center"/>
          </w:tcPr>
          <w:p>
            <w:pPr>
              <w:spacing w:before="20" w:after="20" w:lineRule="atLeast" w:line="280"/>
              <w:jc w:val="center"/>
            </w:pPr>
            <w:r>
              <w:rPr>
                <w:rFonts w:eastAsia="標楷體" w:ascii="Times New Roman" w:hAnsi="Times New Roman"/>
                <w:b/>
                <w:i w:val="0"/>
                <w:sz w:val="21"/>
              </w:rPr>
              <w:t>選擇／排除依據</w:t>
            </w:r>
          </w:p>
        </w:tc>
      </w:tr>
      <w:tr>
        <w:tc>
          <w:tcPr>
            <w:tcW w:type="dxa" w:w="988"/>
            <w:vAlign w:val="center"/>
          </w:tcPr>
          <w:p>
            <w:pPr>
              <w:spacing w:before="20" w:after="20" w:lineRule="atLeast" w:line="280"/>
              <w:jc w:val="left"/>
            </w:pPr>
            <w:r>
              <w:rPr>
                <w:rFonts w:eastAsia="標楷體" w:ascii="Times New Roman" w:hAnsi="Times New Roman"/>
                <w:b w:val="0"/>
                <w:i w:val="0"/>
                <w:sz w:val="21"/>
              </w:rPr>
              <w:t>庫倫計數</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必備 baseline，且兼任三方法比較之 ground truth</w:t>
            </w:r>
          </w:p>
        </w:tc>
      </w:tr>
      <w:tr>
        <w:tc>
          <w:tcPr>
            <w:tcW w:type="dxa" w:w="988"/>
            <w:vAlign w:val="center"/>
          </w:tcPr>
          <w:p>
            <w:pPr>
              <w:spacing w:before="20" w:after="20" w:lineRule="atLeast" w:line="280"/>
              <w:jc w:val="left"/>
            </w:pPr>
            <w:r>
              <w:rPr>
                <w:rFonts w:eastAsia="標楷體" w:ascii="Times New Roman" w:hAnsi="Times New Roman"/>
                <w:b w:val="0"/>
                <w:i w:val="0"/>
                <w:sz w:val="21"/>
              </w:rPr>
              <w:t>OCV 查表（獨立）</w:t>
            </w:r>
          </w:p>
        </w:tc>
        <w:tc>
          <w:tcPr>
            <w:tcW w:type="dxa" w:w="600"/>
            <w:vAlign w:val="center"/>
          </w:tcPr>
          <w:p>
            <w:pPr>
              <w:spacing w:before="20" w:after="20" w:lineRule="atLeast" w:line="280"/>
              <w:jc w:val="left"/>
            </w:pPr>
            <w:r>
              <w:rPr>
                <w:rFonts w:eastAsia="標楷體" w:ascii="Times New Roman" w:hAnsi="Times New Roman"/>
                <w:b w:val="0"/>
                <w:i w:val="0"/>
                <w:sz w:val="21"/>
              </w:rPr>
              <w:t>否</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需長時間靜置、與本研究 rate-capability 測試協定相互排斥；改以 GITT pseudo-OCV 表供 EKF 觀測方程使用</w:t>
            </w:r>
          </w:p>
        </w:tc>
      </w:tr>
      <w:tr>
        <w:tc>
          <w:tcPr>
            <w:tcW w:type="dxa" w:w="988"/>
            <w:vAlign w:val="center"/>
          </w:tcPr>
          <w:p>
            <w:pPr>
              <w:spacing w:before="20" w:after="20" w:lineRule="atLeast" w:line="280"/>
              <w:jc w:val="left"/>
            </w:pPr>
            <w:r>
              <w:rPr>
                <w:rFonts w:eastAsia="標楷體" w:ascii="Times New Roman" w:hAnsi="Times New Roman"/>
                <w:b w:val="0"/>
                <w:i w:val="0"/>
                <w:sz w:val="21"/>
              </w:rPr>
              <w:t>EKF</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工業事實標準；可自初值錯誤收斂；以 GITT 建立之 OCV 表作為觀測方程</w:t>
            </w:r>
          </w:p>
        </w:tc>
      </w:tr>
      <w:tr>
        <w:tc>
          <w:tcPr>
            <w:tcW w:type="dxa" w:w="988"/>
            <w:vAlign w:val="center"/>
          </w:tcPr>
          <w:p>
            <w:pPr>
              <w:spacing w:before="20" w:after="20" w:lineRule="atLeast" w:line="280"/>
              <w:jc w:val="left"/>
            </w:pPr>
            <w:r>
              <w:rPr>
                <w:rFonts w:eastAsia="標楷體" w:ascii="Times New Roman" w:hAnsi="Times New Roman"/>
                <w:b w:val="0"/>
                <w:i w:val="0"/>
                <w:sz w:val="21"/>
              </w:rPr>
              <w:t>動態阻抗</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文獻 [1] 主推；無須初值、即時可算、嵌入式友善；現有 dV/dI 擾動數據可直接利用</w:t>
            </w:r>
          </w:p>
        </w:tc>
      </w:tr>
    </w:tbl>
    <w:p>
      <w:pPr>
        <w:spacing w:lineRule="atLeast" w:line="480"/>
        <w:ind w:firstLine="480"/>
        <w:jc w:val="both"/>
      </w:pPr>
      <w:r>
        <w:rPr>
          <w:rFonts w:eastAsia="標楷體" w:ascii="Times New Roman" w:hAnsi="Times New Roman"/>
          <w:b w:val="0"/>
          <w:i w:val="0"/>
          <w:sz w:val="24"/>
        </w:rPr>
        <w:t>選定此三者的整體邏輯為：庫倫計數作為</w:t>
      </w:r>
      <w:r>
        <w:rPr>
          <w:rFonts w:eastAsia="標楷體" w:ascii="Times New Roman" w:hAnsi="Times New Roman"/>
          <w:b/>
          <w:i w:val="0"/>
          <w:sz w:val="24"/>
        </w:rPr>
        <w:t>基準與真值</w:t>
      </w:r>
      <w:r>
        <w:rPr>
          <w:rFonts w:eastAsia="標楷體" w:ascii="Times New Roman" w:hAnsi="Times New Roman"/>
          <w:b w:val="0"/>
          <w:i w:val="0"/>
          <w:sz w:val="24"/>
        </w:rPr>
        <w:t>、EKF 作為</w:t>
      </w:r>
      <w:r>
        <w:rPr>
          <w:rFonts w:eastAsia="標楷體" w:ascii="Times New Roman" w:hAnsi="Times New Roman"/>
          <w:b/>
          <w:i w:val="0"/>
          <w:sz w:val="24"/>
        </w:rPr>
        <w:t>模型基礎的精度上界代表</w:t>
      </w:r>
      <w:r>
        <w:rPr>
          <w:rFonts w:eastAsia="標楷體" w:ascii="Times New Roman" w:hAnsi="Times New Roman"/>
          <w:b w:val="0"/>
          <w:i w:val="0"/>
          <w:sz w:val="24"/>
        </w:rPr>
        <w:t>、動態阻抗作為</w:t>
      </w:r>
      <w:r>
        <w:rPr>
          <w:rFonts w:eastAsia="標楷體" w:ascii="Times New Roman" w:hAnsi="Times New Roman"/>
          <w:b/>
          <w:i w:val="0"/>
          <w:sz w:val="24"/>
        </w:rPr>
        <w:t>嵌入式輕量化代表</w:t>
      </w:r>
      <w:r>
        <w:rPr>
          <w:rFonts w:eastAsia="標楷體" w:ascii="Times New Roman" w:hAnsi="Times New Roman"/>
          <w:b w:val="0"/>
          <w:i w:val="0"/>
          <w:sz w:val="24"/>
        </w:rPr>
        <w:t>，三者恰好落在「精度—資源」權衡曲線的不同位置，使第四章的比較能在同一電池、同一測試協定、同一 MCU 上，清楚呈現各方法「值多少資源、換得多少精度」。各方法的比較將涵蓋四個面向：精度（RMSE、最大誤差、收斂時間）、強健性（初值錯誤恢復、C-rate 切換、噪聲抗性）、嵌入式資源（Flash／RAM／每次更新 CPU 週期）與工程性（校正資料需求、實作難度），其詳細結果見第四章。</w:t>
      </w:r>
    </w:p>
    <w:p>
      <w:pPr>
        <w:pStyle w:val="1"/>
      </w:pPr>
      <w:r>
        <w:rPr>
          <w:rFonts w:ascii="Times New Roman" w:hAnsi="Times New Roman" w:eastAsia="標楷體"/>
          <w:b/>
          <w:sz w:val="32"/>
          <w:color w:val="000000"/>
        </w:rPr>
        <w:t>第三章　嵌入式量測與測試平台</w:t>
      </w:r>
    </w:p>
    <w:p>
      <w:pPr>
        <w:spacing w:before="240" w:after="120" w:lineRule="atLeast" w:line="360"/>
        <w:jc w:val="left"/>
      </w:pPr>
      <w:r>
        <w:rPr>
          <w:rFonts w:eastAsia="標楷體" w:ascii="Times New Roman" w:hAnsi="Times New Roman"/>
          <w:b/>
          <w:i w:val="0"/>
          <w:sz w:val="28"/>
        </w:rPr>
        <w:t>3.1 系統架構</w:t>
      </w:r>
    </w:p>
    <w:p>
      <w:pPr>
        <w:spacing w:lineRule="atLeast" w:line="480"/>
        <w:ind w:firstLine="480"/>
        <w:jc w:val="both"/>
      </w:pPr>
      <w:r>
        <w:rPr>
          <w:rFonts w:eastAsia="標楷體" w:ascii="Times New Roman" w:hAnsi="Times New Roman"/>
          <w:b w:val="0"/>
          <w:i w:val="0"/>
          <w:sz w:val="24"/>
        </w:rPr>
        <w:t>本研究建構的測試平台同時扮演兩個角色：其一為</w:t>
      </w:r>
      <w:r>
        <w:rPr>
          <w:rFonts w:eastAsia="標楷體" w:ascii="Times New Roman" w:hAnsi="Times New Roman"/>
          <w:b/>
          <w:i w:val="0"/>
          <w:sz w:val="24"/>
        </w:rPr>
        <w:t>電池特性激勵與真值量測平台</w:t>
      </w:r>
      <w:r>
        <w:rPr>
          <w:rFonts w:eastAsia="標楷體" w:ascii="Times New Roman" w:hAnsi="Times New Roman"/>
          <w:b w:val="0"/>
          <w:i w:val="0"/>
          <w:sz w:val="24"/>
        </w:rPr>
        <w:t>，由可程式直流電源供應器與可程式電子負載對電池施加受控的充放電激勵，並以高精度儀錶記錄電壓、電流真值；其二為</w:t>
      </w:r>
      <w:r>
        <w:rPr>
          <w:rFonts w:eastAsia="標楷體" w:ascii="Times New Roman" w:hAnsi="Times New Roman"/>
          <w:b/>
          <w:i w:val="0"/>
          <w:sz w:val="24"/>
        </w:rPr>
        <w:t>嵌入式估測標的</w:t>
      </w:r>
      <w:r>
        <w:rPr>
          <w:rFonts w:eastAsia="標楷體" w:ascii="Times New Roman" w:hAnsi="Times New Roman"/>
          <w:b w:val="0"/>
          <w:i w:val="0"/>
          <w:sz w:val="24"/>
        </w:rPr>
        <w:t>，由一顆 STM32 微控制器搭配 INA226 電流／電壓量測晶片，作為三種 SOC 估測演算法的實際運行載體。兩個角色共用同一顆受測電池（Device Under Test, DUT）與同一條高功率量測迴路，使得「儀錶量到的真值」與「MCU 估出的 SOC」可逐點對齊比較。整體架構如圖 3-1 所示。</w:t>
      </w:r>
    </w:p>
    <w:p>
      <w:pPr>
        <w:spacing w:before="120" w:after="40"/>
        <w:jc w:val="center"/>
      </w:pPr>
      <w:r>
        <w:drawing>
          <wp:inline xmlns:a="http://schemas.openxmlformats.org/drawingml/2006/main" xmlns:pic="http://schemas.openxmlformats.org/drawingml/2006/picture">
            <wp:extent cx="4860000" cy="3656312"/>
            <wp:docPr id="2" name="Picture 2"/>
            <wp:cNvGraphicFramePr>
              <a:graphicFrameLocks noChangeAspect="1"/>
            </wp:cNvGraphicFramePr>
            <a:graphic>
              <a:graphicData uri="http://schemas.openxmlformats.org/drawingml/2006/picture">
                <pic:pic>
                  <pic:nvPicPr>
                    <pic:cNvPr id="0" name="fig3-1.png"/>
                    <pic:cNvPicPr/>
                  </pic:nvPicPr>
                  <pic:blipFill>
                    <a:blip r:embed="rId13"/>
                    <a:stretch>
                      <a:fillRect/>
                    </a:stretch>
                  </pic:blipFill>
                  <pic:spPr>
                    <a:xfrm>
                      <a:off x="0" y="0"/>
                      <a:ext cx="4860000" cy="3656312"/>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3-1</w:t>
      </w:r>
      <w:r>
        <w:rPr>
          <w:rFonts w:eastAsia="標楷體" w:ascii="Times New Roman" w:hAnsi="Times New Roman"/>
          <w:b w:val="0"/>
          <w:i w:val="0"/>
          <w:sz w:val="22"/>
        </w:rPr>
        <w:t xml:space="preserve">　測試平台系統架構：上位機經序列埠驅動電源與電子負載，並接收嵌入式端的狀態回報；受測電池經 10 mΩ shunt 由 INA226 量測電流與電壓</w:t>
      </w:r>
    </w:p>
    <w:p>
      <w:pPr>
        <w:spacing w:lineRule="atLeast" w:line="480"/>
        <w:ind w:firstLine="480"/>
        <w:jc w:val="both"/>
      </w:pPr>
      <w:r>
        <w:rPr>
          <w:rFonts w:eastAsia="標楷體" w:ascii="Times New Roman" w:hAnsi="Times New Roman"/>
          <w:b w:val="0"/>
          <w:i w:val="0"/>
          <w:sz w:val="24"/>
        </w:rPr>
        <w:t xml:space="preserve">平台各組成的角色與規格整理如表 3-1。受測電池為一顆客製化 NMC 鋰離子電池（標稱容量 2000 mAh，充電截止電壓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=4.2</w:t>
      </w:r>
      <w:r>
        <w:rPr>
          <w:rFonts w:eastAsia="標楷體" w:ascii="Times New Roman" w:hAnsi="Times New Roman"/>
          <w:b w:val="0"/>
          <w:i w:val="0"/>
          <w:sz w:val="24"/>
        </w:rPr>
        <w:t xml:space="preserve"> V，放電截止電壓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=2.5</w:t>
      </w:r>
      <w:r>
        <w:rPr>
          <w:rFonts w:eastAsia="標楷體" w:ascii="Times New Roman" w:hAnsi="Times New Roman"/>
          <w:b w:val="0"/>
          <w:i w:val="0"/>
          <w:sz w:val="24"/>
        </w:rPr>
        <w:t xml:space="preserve"> V，最大放電電流 4 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890"/>
        <w:gridCol w:w="1939"/>
        <w:gridCol w:w="1171"/>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組成</w:t>
            </w:r>
          </w:p>
        </w:tc>
        <w:tc>
          <w:tcPr>
            <w:tcW w:type="dxa" w:w="4890"/>
            <w:shd w:val="clear" w:color="auto" w:fill="D9E2F3"/>
            <w:vAlign w:val="center"/>
          </w:tcPr>
          <w:p>
            <w:pPr>
              <w:spacing w:before="20" w:after="20" w:lineRule="atLeast" w:line="280"/>
              <w:jc w:val="center"/>
            </w:pPr>
            <w:r>
              <w:rPr>
                <w:rFonts w:eastAsia="標楷體" w:ascii="Times New Roman" w:hAnsi="Times New Roman"/>
                <w:b/>
                <w:i w:val="0"/>
                <w:sz w:val="21"/>
              </w:rPr>
              <w:t>型號／規格</w:t>
            </w:r>
          </w:p>
        </w:tc>
        <w:tc>
          <w:tcPr>
            <w:tcW w:type="dxa" w:w="1939"/>
            <w:shd w:val="clear" w:color="auto" w:fill="D9E2F3"/>
            <w:vAlign w:val="center"/>
          </w:tcPr>
          <w:p>
            <w:pPr>
              <w:spacing w:before="20" w:after="20" w:lineRule="atLeast" w:line="280"/>
              <w:jc w:val="center"/>
            </w:pPr>
            <w:r>
              <w:rPr>
                <w:rFonts w:eastAsia="標楷體" w:ascii="Times New Roman" w:hAnsi="Times New Roman"/>
                <w:b/>
                <w:i w:val="0"/>
                <w:sz w:val="21"/>
              </w:rPr>
              <w:t>介面</w:t>
            </w:r>
          </w:p>
        </w:tc>
        <w:tc>
          <w:tcPr>
            <w:tcW w:type="dxa" w:w="1171"/>
            <w:shd w:val="clear" w:color="auto" w:fill="D9E2F3"/>
            <w:vAlign w:val="center"/>
          </w:tcPr>
          <w:p>
            <w:pPr>
              <w:spacing w:before="20" w:after="20" w:lineRule="atLeast" w:line="280"/>
              <w:jc w:val="center"/>
            </w:pPr>
            <w:r>
              <w:rPr>
                <w:rFonts w:eastAsia="標楷體" w:ascii="Times New Roman" w:hAnsi="Times New Roman"/>
                <w:b/>
                <w:i w:val="0"/>
                <w:sz w:val="21"/>
              </w:rPr>
              <w:t>角色</w:t>
            </w:r>
          </w:p>
        </w:tc>
      </w:tr>
      <w:tr>
        <w:tc>
          <w:tcPr>
            <w:tcW w:type="dxa" w:w="600"/>
            <w:vAlign w:val="center"/>
          </w:tcPr>
          <w:p>
            <w:pPr>
              <w:spacing w:before="20" w:after="20" w:lineRule="atLeast" w:line="280"/>
              <w:jc w:val="left"/>
            </w:pPr>
            <w:r>
              <w:rPr>
                <w:rFonts w:eastAsia="標楷體" w:ascii="Times New Roman" w:hAnsi="Times New Roman"/>
                <w:b w:val="0"/>
                <w:i w:val="0"/>
                <w:sz w:val="21"/>
              </w:rPr>
              <w:t>微控制器</w:t>
            </w:r>
          </w:p>
        </w:tc>
        <w:tc>
          <w:tcPr>
            <w:tcW w:type="dxa" w:w="4890"/>
            <w:vAlign w:val="center"/>
          </w:tcPr>
          <w:p>
            <w:pPr>
              <w:spacing w:before="20" w:after="20" w:lineRule="atLeast" w:line="280"/>
              <w:jc w:val="left"/>
            </w:pPr>
            <w:r>
              <w:rPr>
                <w:rFonts w:eastAsia="標楷體" w:ascii="Times New Roman" w:hAnsi="Times New Roman"/>
                <w:b w:val="0"/>
                <w:i w:val="0"/>
                <w:sz w:val="21"/>
              </w:rPr>
              <w:t>STM32G071RBTx（Nucleo-G071RB，板載 ST-Link V2.1），SYSCLK 64 MHz</w:t>
            </w:r>
          </w:p>
        </w:tc>
        <w:tc>
          <w:tcPr>
            <w:tcW w:type="dxa" w:w="1939"/>
            <w:vAlign w:val="center"/>
          </w:tcPr>
          <w:p>
            <w:pPr>
              <w:spacing w:before="20" w:after="20" w:lineRule="atLeast" w:line="280"/>
              <w:jc w:val="left"/>
            </w:pPr>
            <w:r>
              <w:rPr>
                <w:rFonts w:eastAsia="標楷體" w:ascii="Times New Roman" w:hAnsi="Times New Roman"/>
                <w:b w:val="0"/>
                <w:i w:val="0"/>
                <w:sz w:val="21"/>
              </w:rPr>
              <w:t>—</w:t>
            </w:r>
          </w:p>
        </w:tc>
        <w:tc>
          <w:tcPr>
            <w:tcW w:type="dxa" w:w="1171"/>
            <w:vAlign w:val="center"/>
          </w:tcPr>
          <w:p>
            <w:pPr>
              <w:spacing w:before="20" w:after="20" w:lineRule="atLeast" w:line="280"/>
              <w:jc w:val="left"/>
            </w:pPr>
            <w:r>
              <w:rPr>
                <w:rFonts w:eastAsia="標楷體" w:ascii="Times New Roman" w:hAnsi="Times New Roman"/>
                <w:b w:val="0"/>
                <w:i w:val="0"/>
                <w:sz w:val="21"/>
              </w:rPr>
              <w:t>嵌入式估測標的、每秒狀態回報</w:t>
            </w:r>
          </w:p>
        </w:tc>
      </w:tr>
      <w:tr>
        <w:tc>
          <w:tcPr>
            <w:tcW w:type="dxa" w:w="600"/>
            <w:vAlign w:val="center"/>
          </w:tcPr>
          <w:p>
            <w:pPr>
              <w:spacing w:before="20" w:after="20" w:lineRule="atLeast" w:line="280"/>
              <w:jc w:val="left"/>
            </w:pPr>
            <w:r>
              <w:rPr>
                <w:rFonts w:eastAsia="標楷體" w:ascii="Times New Roman" w:hAnsi="Times New Roman"/>
                <w:b w:val="0"/>
                <w:i w:val="0"/>
                <w:sz w:val="21"/>
              </w:rPr>
              <w:t>電流／電壓量測</w:t>
            </w:r>
          </w:p>
        </w:tc>
        <w:tc>
          <w:tcPr>
            <w:tcW w:type="dxa" w:w="4890"/>
            <w:vAlign w:val="center"/>
          </w:tcPr>
          <w:p>
            <w:pPr>
              <w:spacing w:before="20" w:after="20" w:lineRule="atLeast" w:line="280"/>
              <w:jc w:val="left"/>
            </w:pPr>
            <w:r>
              <w:rPr>
                <w:rFonts w:eastAsia="標楷體" w:ascii="Times New Roman" w:hAnsi="Times New Roman"/>
                <w:b w:val="0"/>
                <w:i w:val="0"/>
                <w:sz w:val="21"/>
              </w:rPr>
              <w:t>INA226，I²C 位址 0x40，</w:t>
            </w:r>
            <w:r>
              <w:rPr>
                <w:rFonts w:eastAsia="標楷體" w:ascii="Times New Roman" w:hAnsi="Times New Roman"/>
                <w:b w:val="0"/>
                <w:i w:val="0"/>
                <w:sz w:val="21"/>
              </w:rPr>
              <w:t>R_shunt</w:t>
            </w:r>
            <w:r>
              <w:rPr>
                <w:rFonts w:eastAsia="標楷體" w:ascii="Times New Roman" w:hAnsi="Times New Roman"/>
                <w:b w:val="0"/>
                <w:i w:val="0"/>
                <w:sz w:val="21"/>
              </w:rPr>
              <w:t xml:space="preserve"> 標稱 10 mΩ</w:t>
            </w:r>
          </w:p>
        </w:tc>
        <w:tc>
          <w:tcPr>
            <w:tcW w:type="dxa" w:w="1939"/>
            <w:vAlign w:val="center"/>
          </w:tcPr>
          <w:p>
            <w:pPr>
              <w:spacing w:before="20" w:after="20" w:lineRule="atLeast" w:line="280"/>
              <w:jc w:val="left"/>
            </w:pPr>
            <w:r>
              <w:rPr>
                <w:rFonts w:eastAsia="標楷體" w:ascii="Times New Roman" w:hAnsi="Times New Roman"/>
                <w:b w:val="0"/>
                <w:i w:val="0"/>
                <w:sz w:val="21"/>
              </w:rPr>
              <w:t>I²C1 @ 400 kHz</w:t>
            </w:r>
          </w:p>
        </w:tc>
        <w:tc>
          <w:tcPr>
            <w:tcW w:type="dxa" w:w="1171"/>
            <w:vAlign w:val="center"/>
          </w:tcPr>
          <w:p>
            <w:pPr>
              <w:spacing w:before="20" w:after="20" w:lineRule="atLeast" w:line="280"/>
              <w:jc w:val="left"/>
            </w:pPr>
            <w:r>
              <w:rPr>
                <w:rFonts w:eastAsia="標楷體" w:ascii="Times New Roman" w:hAnsi="Times New Roman"/>
                <w:b w:val="0"/>
                <w:i w:val="0"/>
                <w:sz w:val="21"/>
              </w:rPr>
              <w:t>MCU 端 V／I 取樣</w:t>
            </w:r>
          </w:p>
        </w:tc>
      </w:tr>
      <w:tr>
        <w:tc>
          <w:tcPr>
            <w:tcW w:type="dxa" w:w="600"/>
            <w:vAlign w:val="center"/>
          </w:tcPr>
          <w:p>
            <w:pPr>
              <w:spacing w:before="20" w:after="20" w:lineRule="atLeast" w:line="280"/>
              <w:jc w:val="left"/>
            </w:pPr>
            <w:r>
              <w:rPr>
                <w:rFonts w:eastAsia="標楷體" w:ascii="Times New Roman" w:hAnsi="Times New Roman"/>
                <w:b w:val="0"/>
                <w:i w:val="0"/>
                <w:sz w:val="21"/>
              </w:rPr>
              <w:t>直流電源</w:t>
            </w:r>
          </w:p>
        </w:tc>
        <w:tc>
          <w:tcPr>
            <w:tcW w:type="dxa" w:w="4890"/>
            <w:vAlign w:val="center"/>
          </w:tcPr>
          <w:p>
            <w:pPr>
              <w:spacing w:before="20" w:after="20" w:lineRule="atLeast" w:line="280"/>
              <w:jc w:val="left"/>
            </w:pPr>
            <w:r>
              <w:rPr>
                <w:rFonts w:eastAsia="標楷體" w:ascii="Times New Roman" w:hAnsi="Times New Roman"/>
                <w:b w:val="0"/>
                <w:i w:val="0"/>
                <w:sz w:val="21"/>
              </w:rPr>
              <w:t>ITECH IT6302（CC-CV）</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充電路徑 + 充電真值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電子負載</w:t>
            </w:r>
          </w:p>
        </w:tc>
        <w:tc>
          <w:tcPr>
            <w:tcW w:type="dxa" w:w="4890"/>
            <w:vAlign w:val="center"/>
          </w:tcPr>
          <w:p>
            <w:pPr>
              <w:spacing w:before="20" w:after="20" w:lineRule="atLeast" w:line="280"/>
              <w:jc w:val="left"/>
            </w:pPr>
            <w:r>
              <w:rPr>
                <w:rFonts w:eastAsia="標楷體" w:ascii="Times New Roman" w:hAnsi="Times New Roman"/>
                <w:b w:val="0"/>
                <w:i w:val="0"/>
                <w:sz w:val="21"/>
              </w:rPr>
              <w:t>ITECH IT8512A+（CC 模式）</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放電路徑 + 放電真值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上位機</w:t>
            </w:r>
          </w:p>
        </w:tc>
        <w:tc>
          <w:tcPr>
            <w:tcW w:type="dxa" w:w="4890"/>
            <w:vAlign w:val="center"/>
          </w:tcPr>
          <w:p>
            <w:pPr>
              <w:spacing w:before="20" w:after="20" w:lineRule="atLeast" w:line="280"/>
              <w:jc w:val="left"/>
            </w:pPr>
            <w:r>
              <w:rPr>
                <w:rFonts w:eastAsia="標楷體" w:ascii="Times New Roman" w:hAnsi="Times New Roman"/>
                <w:b w:val="0"/>
                <w:i w:val="0"/>
                <w:sz w:val="21"/>
              </w:rPr>
              <w:t>Python orchestrator（樹莓派／PC）</w:t>
            </w:r>
          </w:p>
        </w:tc>
        <w:tc>
          <w:tcPr>
            <w:tcW w:type="dxa" w:w="1939"/>
            <w:vAlign w:val="center"/>
          </w:tcPr>
          <w:p>
            <w:pPr>
              <w:spacing w:before="20" w:after="20" w:lineRule="atLeast" w:line="280"/>
              <w:jc w:val="left"/>
            </w:pPr>
            <w:r>
              <w:rPr>
                <w:rFonts w:eastAsia="標楷體" w:ascii="Times New Roman" w:hAnsi="Times New Roman"/>
                <w:b w:val="0"/>
                <w:i w:val="0"/>
                <w:sz w:val="21"/>
              </w:rPr>
              <w:t>USB 三埠</w:t>
            </w:r>
          </w:p>
        </w:tc>
        <w:tc>
          <w:tcPr>
            <w:tcW w:type="dxa" w:w="1171"/>
            <w:vAlign w:val="center"/>
          </w:tcPr>
          <w:p>
            <w:pPr>
              <w:spacing w:before="20" w:after="20" w:lineRule="atLeast" w:line="280"/>
              <w:jc w:val="left"/>
            </w:pPr>
            <w:r>
              <w:rPr>
                <w:rFonts w:eastAsia="標楷體" w:ascii="Times New Roman" w:hAnsi="Times New Roman"/>
                <w:b w:val="0"/>
                <w:i w:val="0"/>
                <w:sz w:val="21"/>
              </w:rPr>
              <w:t>排程、互鎖、紀錄</w:t>
            </w:r>
          </w:p>
        </w:tc>
      </w:tr>
    </w:tbl>
    <w:p>
      <w:pPr>
        <w:spacing w:lineRule="atLeast" w:line="480"/>
        <w:ind w:firstLine="480"/>
        <w:jc w:val="both"/>
      </w:pPr>
      <w:r>
        <w:rPr>
          <w:rFonts w:eastAsia="標楷體" w:ascii="Times New Roman" w:hAnsi="Times New Roman"/>
          <w:b w:val="0"/>
          <w:i w:val="0"/>
          <w:sz w:val="24"/>
        </w:rPr>
        <w:t xml:space="preserve">量測迴路採單點共地的 Kelvin（四線）連接：電池正極經 10 mΩ shunt 串接至電源／負載，INA226 的 IN+／IN− 緊貼 shunt 兩端做差動電流量測、VBUS 量測電池端點電壓，並由電池負極就近單點接出邏輯地，以避免 shunt 壓降耦合進邏輯供電（詳細腳位與訊號完整性見附錄 A 與 </w:t>
      </w:r>
      <w:r>
        <w:rPr>
          <w:rFonts w:eastAsia="標楷體" w:ascii="Consolas" w:hAnsi="Consolas"/>
          <w:b w:val="0"/>
          <w:i w:val="0"/>
          <w:sz w:val="21"/>
        </w:rPr>
        <w:t>MCU/docs/wiring.md</w:t>
      </w:r>
      <w:r>
        <w:rPr>
          <w:rFonts w:eastAsia="標楷體" w:ascii="Times New Roman" w:hAnsi="Times New Roman"/>
          <w:b w:val="0"/>
          <w:i w:val="0"/>
          <w:sz w:val="24"/>
        </w:rPr>
        <w:t>）。充電與放電為兩條獨立路徑，由上位機在軟體層確保任一時刻僅一條路徑帶電（3.5 節）。</w:t>
      </w:r>
    </w:p>
    <w:p>
      <w:pPr>
        <w:spacing w:lineRule="atLeast" w:line="480"/>
        <w:ind w:firstLine="480"/>
        <w:jc w:val="both"/>
      </w:pPr>
      <w:r>
        <w:rPr>
          <w:rFonts w:eastAsia="標楷體" w:ascii="Times New Roman" w:hAnsi="Times New Roman"/>
          <w:b w:val="0"/>
          <w:i w:val="0"/>
          <w:sz w:val="24"/>
        </w:rPr>
        <w:t>上位機與三個設備各以一條 USB 序列埠通訊：對電源與電子負載下達控制指令，並接收微控制器每秒回報一次的電壓／電流／SOC 估測值。如此，同一充放電事件同時被「儀錶真值」與「微控制器估測」兩路獨立記錄，構成第四章逐點誤差分析的資料基礎。</w:t>
      </w:r>
    </w:p>
    <w:p>
      <w:pPr>
        <w:spacing w:before="240" w:after="120" w:lineRule="atLeast" w:line="360"/>
        <w:jc w:val="left"/>
      </w:pPr>
      <w:r>
        <w:rPr>
          <w:rFonts w:eastAsia="標楷體" w:ascii="Times New Roman" w:hAnsi="Times New Roman"/>
          <w:b/>
          <w:i w:val="0"/>
          <w:sz w:val="28"/>
        </w:rPr>
        <w:t>3.2 韌體骨架與系統節拍</w:t>
      </w:r>
    </w:p>
    <w:p>
      <w:pPr>
        <w:spacing w:lineRule="atLeast" w:line="480"/>
        <w:ind w:firstLine="480"/>
        <w:jc w:val="both"/>
      </w:pPr>
      <w:r>
        <w:rPr>
          <w:rFonts w:eastAsia="標楷體" w:ascii="Times New Roman" w:hAnsi="Times New Roman"/>
          <w:b w:val="0"/>
          <w:i w:val="0"/>
          <w:sz w:val="24"/>
        </w:rPr>
        <w:t>為使第四章三種 SOC 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pPr>
        <w:spacing w:lineRule="atLeast" w:line="480"/>
        <w:ind w:firstLine="480"/>
        <w:jc w:val="both"/>
      </w:pPr>
      <w:r>
        <w:rPr>
          <w:rFonts w:eastAsia="標楷體" w:ascii="Times New Roman" w:hAnsi="Times New Roman"/>
          <w:b/>
          <w:i w:val="0"/>
          <w:sz w:val="24"/>
        </w:rPr>
        <w:t>固定的系統節拍</w:t>
      </w:r>
      <w:r>
        <w:rPr>
          <w:rFonts w:eastAsia="標楷體" w:ascii="Times New Roman" w:hAnsi="Times New Roman"/>
          <w:b w:val="0"/>
          <w:i w:val="0"/>
          <w:sz w:val="24"/>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pPr>
        <w:spacing w:lineRule="atLeast" w:line="480"/>
        <w:ind w:firstLine="480"/>
        <w:jc w:val="both"/>
      </w:pPr>
      <w:r>
        <w:rPr>
          <w:rFonts w:eastAsia="標楷體" w:ascii="Times New Roman" w:hAnsi="Times New Roman"/>
          <w:b/>
          <w:i w:val="0"/>
          <w:sz w:val="24"/>
        </w:rPr>
        <w:t>「開機初始化一次、之後反覆執行」的主架構</w:t>
      </w:r>
      <w:r>
        <w:rPr>
          <w:rFonts w:eastAsia="標楷體" w:ascii="Times New Roman" w:hAnsi="Times New Roman"/>
          <w:b w:val="0"/>
          <w:i w:val="0"/>
          <w:sz w:val="24"/>
        </w:rPr>
        <w:t>：開機後先把各個功能模組依序初始化（通訊埠、量測晶片、校正資料載入等）一次，接著進入主迴圈反覆執行各模組的例行工作，並依節拍分派週期性事件。若量測晶片在開機時未被偵測到，系統會以警告繼續運行而非直接中止——量測平台必須在感測器缺席時仍能存活。</w:t>
      </w:r>
    </w:p>
    <w:p>
      <w:pPr>
        <w:spacing w:lineRule="atLeast" w:line="480"/>
        <w:ind w:firstLine="480"/>
        <w:jc w:val="both"/>
      </w:pPr>
      <w:r>
        <w:rPr>
          <w:rFonts w:eastAsia="標楷體" w:ascii="Times New Roman" w:hAnsi="Times New Roman"/>
          <w:b/>
          <w:i w:val="0"/>
          <w:sz w:val="24"/>
        </w:rPr>
        <w:t>模組化的功能切分</w:t>
      </w:r>
      <w:r>
        <w:rPr>
          <w:rFonts w:eastAsia="標楷體" w:ascii="Times New Roman" w:hAnsi="Times New Roman"/>
          <w:b w:val="0"/>
          <w:i w:val="0"/>
          <w:sz w:val="24"/>
        </w:rPr>
        <w:t>：應用功能被切成數個獨立模組，各自只負責一件事、彼此低耦合，方便維護與替換。主要模組與其職責整理如表 3-2，其中「SOC 估測模組」即第四章三種方法的共同掛載點。</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7126"/>
      </w:tblGrid>
      <w:tr>
        <w:tc>
          <w:tcPr>
            <w:tcW w:type="dxa" w:w="1474"/>
            <w:shd w:val="clear" w:color="auto" w:fill="D9E2F3"/>
            <w:vAlign w:val="center"/>
          </w:tcPr>
          <w:p>
            <w:pPr>
              <w:spacing w:before="20" w:after="20" w:lineRule="atLeast" w:line="280"/>
              <w:jc w:val="center"/>
            </w:pPr>
            <w:r>
              <w:rPr>
                <w:rFonts w:eastAsia="標楷體" w:ascii="Times New Roman" w:hAnsi="Times New Roman"/>
                <w:b/>
                <w:i w:val="0"/>
                <w:sz w:val="21"/>
              </w:rPr>
              <w:t>模組</w:t>
            </w:r>
          </w:p>
        </w:tc>
        <w:tc>
          <w:tcPr>
            <w:tcW w:type="dxa" w:w="7126"/>
            <w:shd w:val="clear" w:color="auto" w:fill="D9E2F3"/>
            <w:vAlign w:val="center"/>
          </w:tcPr>
          <w:p>
            <w:pPr>
              <w:spacing w:before="20" w:after="20" w:lineRule="atLeast" w:line="280"/>
              <w:jc w:val="center"/>
            </w:pPr>
            <w:r>
              <w:rPr>
                <w:rFonts w:eastAsia="標楷體" w:ascii="Times New Roman" w:hAnsi="Times New Roman"/>
                <w:b/>
                <w:i w:val="0"/>
                <w:sz w:val="21"/>
              </w:rPr>
              <w:t>職責</w:t>
            </w:r>
          </w:p>
        </w:tc>
      </w:tr>
      <w:tr>
        <w:tc>
          <w:tcPr>
            <w:tcW w:type="dxa" w:w="1474"/>
            <w:vAlign w:val="center"/>
          </w:tcPr>
          <w:p>
            <w:pPr>
              <w:spacing w:before="20" w:after="20" w:lineRule="atLeast" w:line="280"/>
              <w:jc w:val="left"/>
            </w:pPr>
            <w:r>
              <w:rPr>
                <w:rFonts w:eastAsia="標楷體" w:ascii="Times New Roman" w:hAnsi="Times New Roman"/>
                <w:b w:val="0"/>
                <w:i w:val="0"/>
                <w:sz w:val="21"/>
              </w:rPr>
              <w:t>除錯通訊</w:t>
            </w:r>
          </w:p>
        </w:tc>
        <w:tc>
          <w:tcPr>
            <w:tcW w:type="dxa" w:w="7126"/>
            <w:vAlign w:val="center"/>
          </w:tcPr>
          <w:p>
            <w:pPr>
              <w:spacing w:before="20" w:after="20" w:lineRule="atLeast" w:line="280"/>
              <w:jc w:val="left"/>
            </w:pPr>
            <w:r>
              <w:rPr>
                <w:rFonts w:eastAsia="標楷體" w:ascii="Times New Roman" w:hAnsi="Times New Roman"/>
                <w:b w:val="0"/>
                <w:i w:val="0"/>
                <w:sz w:val="21"/>
              </w:rPr>
              <w:t>透過序列埠輸出狀態與訊息，供上位機即時監看</w:t>
            </w:r>
          </w:p>
        </w:tc>
      </w:tr>
      <w:tr>
        <w:tc>
          <w:tcPr>
            <w:tcW w:type="dxa" w:w="1474"/>
            <w:vAlign w:val="center"/>
          </w:tcPr>
          <w:p>
            <w:pPr>
              <w:spacing w:before="20" w:after="20" w:lineRule="atLeast" w:line="280"/>
              <w:jc w:val="left"/>
            </w:pPr>
            <w:r>
              <w:rPr>
                <w:rFonts w:eastAsia="標楷體" w:ascii="Times New Roman" w:hAnsi="Times New Roman"/>
                <w:b w:val="0"/>
                <w:i w:val="0"/>
                <w:sz w:val="21"/>
              </w:rPr>
              <w:t>量測匯流排</w:t>
            </w:r>
          </w:p>
        </w:tc>
        <w:tc>
          <w:tcPr>
            <w:tcW w:type="dxa" w:w="7126"/>
            <w:vAlign w:val="center"/>
          </w:tcPr>
          <w:p>
            <w:pPr>
              <w:spacing w:before="20" w:after="20" w:lineRule="atLeast" w:line="280"/>
              <w:jc w:val="left"/>
            </w:pPr>
            <w:r>
              <w:rPr>
                <w:rFonts w:eastAsia="標楷體" w:ascii="Times New Roman" w:hAnsi="Times New Roman"/>
                <w:b w:val="0"/>
                <w:i w:val="0"/>
                <w:sz w:val="21"/>
              </w:rPr>
              <w:t>與電流／電壓量測晶片（INA226）通訊、讀寫其設定與資料</w:t>
            </w:r>
          </w:p>
        </w:tc>
      </w:tr>
      <w:tr>
        <w:tc>
          <w:tcPr>
            <w:tcW w:type="dxa" w:w="1474"/>
            <w:vAlign w:val="center"/>
          </w:tcPr>
          <w:p>
            <w:pPr>
              <w:spacing w:before="20" w:after="20" w:lineRule="atLeast" w:line="280"/>
              <w:jc w:val="left"/>
            </w:pPr>
            <w:r>
              <w:rPr>
                <w:rFonts w:eastAsia="標楷體" w:ascii="Times New Roman" w:hAnsi="Times New Roman"/>
                <w:b w:val="0"/>
                <w:i w:val="0"/>
                <w:sz w:val="21"/>
              </w:rPr>
              <w:t>電池量測</w:t>
            </w:r>
          </w:p>
        </w:tc>
        <w:tc>
          <w:tcPr>
            <w:tcW w:type="dxa" w:w="7126"/>
            <w:vAlign w:val="center"/>
          </w:tcPr>
          <w:p>
            <w:pPr>
              <w:spacing w:before="20" w:after="20" w:lineRule="atLeast" w:line="280"/>
              <w:jc w:val="left"/>
            </w:pPr>
            <w:r>
              <w:rPr>
                <w:rFonts w:eastAsia="標楷體" w:ascii="Times New Roman" w:hAnsi="Times New Roman"/>
                <w:b w:val="0"/>
                <w:i w:val="0"/>
                <w:sz w:val="21"/>
              </w:rPr>
              <w:t>設定量測晶片並取得最新的電壓、電流、功率讀值</w:t>
            </w:r>
          </w:p>
        </w:tc>
      </w:tr>
      <w:tr>
        <w:tc>
          <w:tcPr>
            <w:tcW w:type="dxa" w:w="1474"/>
            <w:vAlign w:val="center"/>
          </w:tcPr>
          <w:p>
            <w:pPr>
              <w:spacing w:before="20" w:after="20" w:lineRule="atLeast" w:line="280"/>
              <w:jc w:val="left"/>
            </w:pPr>
            <w:r>
              <w:rPr>
                <w:rFonts w:eastAsia="標楷體" w:ascii="Times New Roman" w:hAnsi="Times New Roman"/>
                <w:b w:val="0"/>
                <w:i w:val="0"/>
                <w:sz w:val="21"/>
              </w:rPr>
              <w:t>校正套用</w:t>
            </w:r>
          </w:p>
        </w:tc>
        <w:tc>
          <w:tcPr>
            <w:tcW w:type="dxa" w:w="7126"/>
            <w:vAlign w:val="center"/>
          </w:tcPr>
          <w:p>
            <w:pPr>
              <w:spacing w:before="20" w:after="20" w:lineRule="atLeast" w:line="280"/>
              <w:jc w:val="left"/>
            </w:pPr>
            <w:r>
              <w:rPr>
                <w:rFonts w:eastAsia="標楷體" w:ascii="Times New Roman" w:hAnsi="Times New Roman"/>
                <w:b w:val="0"/>
                <w:i w:val="0"/>
                <w:sz w:val="21"/>
              </w:rPr>
              <w:t>載入多點校正資料並套用於原始讀值（見 3.3 節）</w:t>
            </w:r>
          </w:p>
        </w:tc>
      </w:tr>
      <w:tr>
        <w:tc>
          <w:tcPr>
            <w:tcW w:type="dxa" w:w="1474"/>
            <w:vAlign w:val="center"/>
          </w:tcPr>
          <w:p>
            <w:pPr>
              <w:spacing w:before="20" w:after="20" w:lineRule="atLeast" w:line="280"/>
              <w:jc w:val="left"/>
            </w:pPr>
            <w:r>
              <w:rPr>
                <w:rFonts w:eastAsia="標楷體" w:ascii="Times New Roman" w:hAnsi="Times New Roman"/>
                <w:b w:val="0"/>
                <w:i w:val="0"/>
                <w:sz w:val="21"/>
              </w:rPr>
              <w:t>SOC 估測</w:t>
            </w:r>
          </w:p>
        </w:tc>
        <w:tc>
          <w:tcPr>
            <w:tcW w:type="dxa" w:w="7126"/>
            <w:vAlign w:val="center"/>
          </w:tcPr>
          <w:p>
            <w:pPr>
              <w:spacing w:before="20" w:after="20" w:lineRule="atLeast" w:line="280"/>
              <w:jc w:val="left"/>
            </w:pPr>
            <w:r>
              <w:rPr>
                <w:rFonts w:eastAsia="標楷體" w:ascii="Times New Roman" w:hAnsi="Times New Roman"/>
                <w:b w:val="0"/>
                <w:i w:val="0"/>
                <w:sz w:val="21"/>
              </w:rPr>
              <w:t>第四章三種估測方法掛載於此</w:t>
            </w:r>
          </w:p>
        </w:tc>
      </w:tr>
    </w:tbl>
    <w:p>
      <w:pPr>
        <w:spacing w:lineRule="atLeast" w:line="480"/>
        <w:ind w:firstLine="480"/>
        <w:jc w:val="both"/>
      </w:pPr>
      <w:r>
        <w:rPr>
          <w:rFonts w:eastAsia="標楷體" w:ascii="Times New Roman" w:hAnsi="Times New Roman"/>
          <w:b w:val="0"/>
          <w:i w:val="0"/>
          <w:sz w:val="24"/>
        </w:rPr>
        <w:t>骨架每秒回報一行狀態（電壓、電流、校正後電流、功率，以及各模組是否正常），供上位機即時監看與紀錄。校正資料一次燒入微控制器的非揮發性記憶體後，開機便自動載入，因此回報出來的電流已是校正後的數值（校正細節見 3.3 節）。此骨架即為第四章三種估測方法的共同載體：三者只替換最核心的估測模組，其餘部分完全相同，確保比較之公平性。</w:t>
      </w:r>
    </w:p>
    <w:p>
      <w:pPr>
        <w:spacing w:before="240" w:after="120" w:lineRule="atLeast" w:line="360"/>
        <w:jc w:val="left"/>
      </w:pPr>
      <w:r>
        <w:rPr>
          <w:rFonts w:eastAsia="標楷體" w:ascii="Times New Roman" w:hAnsi="Times New Roman"/>
          <w:b/>
          <w:i w:val="0"/>
          <w:sz w:val="28"/>
        </w:rPr>
        <w:t>3.3 INA226 多點線性內插校正</w:t>
      </w:r>
    </w:p>
    <w:p>
      <w:pPr>
        <w:spacing w:lineRule="atLeast" w:line="480"/>
        <w:ind w:firstLine="480"/>
        <w:jc w:val="both"/>
      </w:pPr>
      <w:r>
        <w:rPr>
          <w:rFonts w:eastAsia="標楷體" w:ascii="Times New Roman" w:hAnsi="Times New Roman"/>
          <w:b w:val="0"/>
          <w:i w:val="0"/>
          <w:sz w:val="24"/>
        </w:rPr>
        <w:t>第四章所有 SOC 方法都以電流積分為基礎（庫倫計數為直接積分，EKF 與動態阻抗亦需準確電流），故電流量測精度是整個平台的根。INA226 出廠後的原始讀值存在顯著系統性偏差，必須先行校正。</w:t>
      </w:r>
    </w:p>
    <w:p>
      <w:pPr>
        <w:spacing w:lineRule="atLeast" w:line="480"/>
        <w:ind w:firstLine="480"/>
        <w:jc w:val="both"/>
      </w:pPr>
      <w:r>
        <w:rPr>
          <w:rFonts w:eastAsia="標楷體" w:ascii="Times New Roman" w:hAnsi="Times New Roman"/>
          <w:b/>
          <w:i w:val="0"/>
          <w:sz w:val="24"/>
        </w:rPr>
        <w:t>校正前偏差</w:t>
      </w:r>
      <w:r>
        <w:rPr>
          <w:rFonts w:eastAsia="標楷體" w:ascii="Times New Roman" w:hAnsi="Times New Roman"/>
          <w:b w:val="0"/>
          <w:i w:val="0"/>
          <w:sz w:val="24"/>
        </w:rPr>
        <w:t xml:space="preserve">：以電子負載拉定電流為真值，比對 MCU 原始讀值，發現 INA226 電流系統性偏高約 </w:t>
      </w:r>
      <w:r>
        <w:rPr>
          <w:rFonts w:eastAsia="標楷體" w:ascii="Times New Roman" w:hAnsi="Times New Roman"/>
          <w:b/>
          <w:i w:val="0"/>
          <w:sz w:val="24"/>
        </w:rPr>
        <w:t>15.8%</w:t>
      </w:r>
      <w:r>
        <w:rPr>
          <w:rFonts w:eastAsia="標楷體" w:ascii="Times New Roman" w:hAnsi="Times New Roman"/>
          <w:b w:val="0"/>
          <w:i w:val="0"/>
          <w:sz w:val="24"/>
        </w:rPr>
        <w:t>（200 mA 時讀為 230.4 mA），主因是 shunt 實際阻值偏離標稱 10 mΩ，加上 PCB 走線串聯阻抗與 ADC 零點偏移。此偏差若不校正，將直接以同等比例污染所有 SOC 估測。</w:t>
      </w:r>
    </w:p>
    <w:p>
      <w:pPr>
        <w:spacing w:lineRule="atLeast" w:line="480"/>
        <w:ind w:firstLine="480"/>
        <w:jc w:val="both"/>
      </w:pPr>
      <w:r>
        <w:rPr>
          <w:rFonts w:eastAsia="標楷體" w:ascii="Times New Roman" w:hAnsi="Times New Roman"/>
          <w:b/>
          <w:i w:val="0"/>
          <w:sz w:val="24"/>
        </w:rPr>
        <w:t>校正設計</w:t>
      </w:r>
      <w:r>
        <w:rPr>
          <w:rFonts w:eastAsia="標楷體" w:ascii="Times New Roman" w:hAnsi="Times New Roman"/>
          <w:b w:val="0"/>
          <w:i w:val="0"/>
          <w:sz w:val="24"/>
        </w:rPr>
        <w:t>：採分方向各 7 點、合計 14 點的線性內插校正。校正電流點為</w:t>
      </w:r>
    </w:p>
    <w:p>
      <w:pPr>
        <w:spacing w:before="120" w:after="120" w:lineRule="atLeast" w:line="480"/>
        <w:jc w:val="center"/>
      </w:pPr>
      <w:r>
        <w:rPr>
          <w:rFonts w:eastAsia="標楷體" w:ascii="Cambria Math" w:hAnsi="Cambria Math"/>
          <w:sz w:val="24"/>
        </w:rPr>
        <w:t>0, 0.05, 0.10, 0.50, 1.00, 1.50, 2.00 A</w:t>
      </w:r>
    </w:p>
    <w:p>
      <w:pPr>
        <w:spacing w:lineRule="atLeast" w:line="480"/>
        <w:ind w:firstLine="480"/>
        <w:jc w:val="both"/>
      </w:pPr>
      <w:r>
        <w:rPr>
          <w:rFonts w:eastAsia="標楷體" w:ascii="Times New Roman" w:hAnsi="Times New Roman"/>
          <w:b w:val="0"/>
          <w:i w:val="0"/>
          <w:sz w:val="24"/>
        </w:rPr>
        <w:t xml:space="preserve">充電方向以 IT6302、放電方向以 IT8512A+ 提供真值；之所以分方向各建一張 LUT，是因 INA226 的零點偏移對電流方向可能不對稱。選點兼顧低電流區（offset 主導，0、0.05、0.10 A）與高電流區（shunt 線性度與純比例縮放，0.5～2.0 A，其中 2.0 A = 1C @ 2000 mAh）。每點時序為：寫入設定值並以 readback 驗證（容差 </w:t>
      </w:r>
      <w:r>
        <w:rPr>
          <w:rFonts w:eastAsia="標楷體" w:ascii="Times New Roman" w:hAnsi="Times New Roman"/>
          <w:b w:val="0"/>
          <w:i w:val="0"/>
          <w:sz w:val="24"/>
        </w:rPr>
        <w:t>max(5 mA, 5%)</w:t>
      </w:r>
      <w:r>
        <w:rPr>
          <w:rFonts w:eastAsia="標楷體" w:ascii="Times New Roman" w:hAnsi="Times New Roman"/>
          <w:b w:val="0"/>
          <w:i w:val="0"/>
          <w:sz w:val="24"/>
        </w:rPr>
        <w:t xml:space="preserve">）→ 3 s 穩態 → 5 s 並行採樣（儀錶 </w:t>
      </w:r>
      <w:r>
        <w:rPr>
          <w:rFonts w:eastAsia="標楷體" w:ascii="Consolas" w:hAnsi="Consolas"/>
          <w:b w:val="0"/>
          <w:i w:val="0"/>
          <w:sz w:val="21"/>
        </w:rPr>
        <w:t>MEAS:CURR?</w:t>
      </w:r>
      <w:r>
        <w:rPr>
          <w:rFonts w:eastAsia="標楷體" w:ascii="Times New Roman" w:hAnsi="Times New Roman"/>
          <w:b w:val="0"/>
          <w:i w:val="0"/>
          <w:sz w:val="24"/>
        </w:rPr>
        <w:t xml:space="preserve"> 每 0.4 s、MCU heartbeat 每 1 s）取平均。</w:t>
      </w:r>
    </w:p>
    <w:p>
      <w:pPr>
        <w:spacing w:lineRule="atLeast" w:line="480"/>
        <w:ind w:firstLine="480"/>
        <w:jc w:val="both"/>
      </w:pPr>
      <w:r>
        <w:rPr>
          <w:rFonts w:eastAsia="標楷體" w:ascii="Times New Roman" w:hAnsi="Times New Roman"/>
          <w:b/>
          <w:i w:val="0"/>
          <w:sz w:val="24"/>
        </w:rPr>
        <w:t>校正觀察</w:t>
      </w:r>
      <w:r>
        <w:rPr>
          <w:rFonts w:eastAsia="標楷體" w:ascii="Times New Roman" w:hAnsi="Times New Roman"/>
          <w:b w:val="0"/>
          <w:i w:val="0"/>
          <w:sz w:val="24"/>
        </w:rPr>
        <w:t xml:space="preserve">：原始數據呈現三項一致規律：(1) 充放電同電流點的比值（ref/mcu）一致到小數第三位，確認 shunt 量測對方向無偏；(2) 0 A 零點偏移為 +1.10 mA（兩方向同號）；(3) 高電流區（&gt; 500 mA）比值收斂至 0.880，等價於 shunt 實際阻值 </w:t>
      </w:r>
      <w:r>
        <w:rPr>
          <w:rFonts w:eastAsia="標楷體" w:ascii="Times New Roman" w:hAnsi="Times New Roman"/>
          <w:b w:val="0"/>
          <w:i w:val="0"/>
          <w:sz w:val="24"/>
        </w:rPr>
        <w:t>≈ 10/0.880 = 11.36</w:t>
      </w:r>
      <w:r>
        <w:rPr>
          <w:rFonts w:eastAsia="標楷體" w:ascii="Times New Roman" w:hAnsi="Times New Roman"/>
          <w:b w:val="0"/>
          <w:i w:val="0"/>
          <w:sz w:val="24"/>
        </w:rPr>
        <w:t xml:space="preserve"> mΩ（較標稱 +13.6%），或等價於將 </w:t>
      </w:r>
      <w:r>
        <w:rPr>
          <w:rFonts w:eastAsia="標楷體" w:ascii="Consolas" w:hAnsi="Consolas"/>
          <w:b w:val="0"/>
          <w:i w:val="0"/>
          <w:sz w:val="21"/>
        </w:rPr>
        <w:t xml:space="preserve">Current</w:t>
      </w:r>
      <w:r>
        <w:rPr>
          <w:rFonts w:eastAsia="標楷體" w:ascii="Consolas" w:hAnsi="Consolas"/>
          <w:b w:val="0"/>
          <w:i w:val="0"/>
          <w:sz w:val="21"/>
          <w:vertAlign w:val="subscript"/>
        </w:rPr>
        <w:t xml:space="preserve">LSB</w:t>
      </w:r>
      <w:r>
        <w:rPr>
          <w:rFonts w:eastAsia="標楷體" w:ascii="Times New Roman" w:hAnsi="Times New Roman"/>
          <w:b w:val="0"/>
          <w:i w:val="0"/>
          <w:sz w:val="24"/>
        </w:rPr>
        <w:t xml:space="preserve"> 改為 </w:t>
      </w:r>
      <w:r>
        <w:rPr>
          <w:rFonts w:eastAsia="標楷體" w:ascii="Times New Roman" w:hAnsi="Times New Roman"/>
          <w:b w:val="0"/>
          <w:i w:val="0"/>
          <w:sz w:val="24"/>
        </w:rPr>
        <w:t>152.5879 × 0.880 = 134.3</w:t>
      </w:r>
      <w:r>
        <w:rPr>
          <w:rFonts w:eastAsia="標楷體" w:ascii="Times New Roman" w:hAnsi="Times New Roman"/>
          <w:b w:val="0"/>
          <w:i w:val="0"/>
          <w:sz w:val="24"/>
        </w:rPr>
        <w:t xml:space="preserve"> µA/LSB。低電流區比值下降至 0.85，符合「固定 +1.10 mA offset 在小電流上佔比放大」的純 offset 主導模型。</w:t>
      </w:r>
    </w:p>
    <w:p>
      <w:pPr>
        <w:spacing w:lineRule="atLeast" w:line="480"/>
        <w:ind w:firstLine="480"/>
        <w:jc w:val="both"/>
      </w:pPr>
      <w:r>
        <w:rPr>
          <w:rFonts w:eastAsia="標楷體" w:ascii="Times New Roman" w:hAnsi="Times New Roman"/>
          <w:b/>
          <w:i w:val="0"/>
          <w:sz w:val="24"/>
        </w:rPr>
        <w:t>校正模型</w:t>
      </w:r>
      <w:r>
        <w:rPr>
          <w:rFonts w:eastAsia="標楷體" w:ascii="Times New Roman" w:hAnsi="Times New Roman"/>
          <w:b w:val="0"/>
          <w:i w:val="0"/>
          <w:sz w:val="24"/>
        </w:rPr>
        <w:t xml:space="preserve">：採分段線性內插（piecewise-linear），不使用多項式擬合。給定 MCU 讀值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mcu</w:t>
      </w:r>
      <w:r>
        <w:rPr>
          <w:rFonts w:eastAsia="標楷體" w:ascii="Times New Roman" w:hAnsi="Times New Roman"/>
          <w:b w:val="0"/>
          <w:i w:val="0"/>
          <w:sz w:val="24"/>
        </w:rPr>
        <w:t xml:space="preserve">，於 LUT 中找包夾區間 </w:t>
      </w:r>
      <w:r>
        <w:rPr>
          <w:rFonts w:eastAsia="標楷體" w:ascii="Times New Roman" w:hAnsi="Times New Roman"/>
          <w:b w:val="0"/>
          <w:i w:val="0"/>
          <w:sz w:val="24"/>
        </w:rPr>
        <w:t xml:space="preserve">[m</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 m</w:t>
      </w:r>
      <w:r>
        <w:rPr>
          <w:rFonts w:eastAsia="標楷體" w:ascii="Times New Roman" w:hAnsi="Times New Roman"/>
          <w:b w:val="0"/>
          <w:i w:val="0"/>
          <w:sz w:val="24"/>
          <w:vertAlign w:val="subscript"/>
        </w:rPr>
        <w:t xml:space="preserve">k+1</w:t>
      </w:r>
      <w:r>
        <w:rPr>
          <w:rFonts w:eastAsia="標楷體" w:ascii="Times New Roman" w:hAnsi="Times New Roman"/>
          <w:b w:val="0"/>
          <w:i w:val="0"/>
          <w:sz w:val="24"/>
        </w:rPr>
        <w:t xml:space="preserve">]</w:t>
      </w:r>
      <w:r>
        <w:rPr>
          <w:rFonts w:eastAsia="標楷體" w:ascii="Times New Roman" w:hAnsi="Times New Roman"/>
          <w:b w:val="0"/>
          <w:i w:val="0"/>
          <w:sz w:val="24"/>
        </w:rPr>
        <w:t xml:space="preserve"> 後線性內插得真值估計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ref</w:t>
      </w:r>
      <w:r>
        <w:rPr>
          <w:rFonts w:eastAsia="標楷體" w:ascii="Times New Roman" w:hAnsi="Times New Roman"/>
          <w:b w:val="0"/>
          <w:i w:val="0"/>
          <w:sz w:val="24"/>
        </w:rPr>
        <w:t>；超出範圍則以首／末段斜率外插。此法相較單一比例或多項式更能同時吻合低電流 offset 與高電流線性兩種行為。</w:t>
      </w:r>
    </w:p>
    <w:p>
      <w:pPr>
        <w:spacing w:lineRule="atLeast" w:line="480"/>
        <w:ind w:firstLine="480"/>
        <w:jc w:val="both"/>
      </w:pPr>
      <w:r>
        <w:rPr>
          <w:rFonts w:eastAsia="標楷體" w:ascii="Times New Roman" w:hAnsi="Times New Roman"/>
          <w:b/>
          <w:i w:val="0"/>
          <w:sz w:val="24"/>
        </w:rPr>
        <w:t>內插驗證</w:t>
      </w:r>
      <w:r>
        <w:rPr>
          <w:rFonts w:eastAsia="標楷體" w:ascii="Times New Roman" w:hAnsi="Times New Roman"/>
          <w:b w:val="0"/>
          <w:i w:val="0"/>
          <w:sz w:val="24"/>
        </w:rPr>
        <w:t>：以未列入校正表的 4 個獨立電流點（0.30、0.75、1.25、1.75 A）驗證 LUT 內插預測對真值的誤差，結果如表 3-3。</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2"/>
        <w:gridCol w:w="1368"/>
        <w:gridCol w:w="2150"/>
        <w:gridCol w:w="2150"/>
        <w:gridCol w:w="1760"/>
      </w:tblGrid>
      <w:tr>
        <w:tc>
          <w:tcPr>
            <w:tcW w:type="dxa" w:w="1172"/>
            <w:shd w:val="clear" w:color="auto" w:fill="D9E2F3"/>
            <w:vAlign w:val="center"/>
          </w:tcPr>
          <w:p>
            <w:pPr>
              <w:spacing w:before="20" w:after="20" w:lineRule="atLeast" w:line="280"/>
              <w:jc w:val="center"/>
            </w:pPr>
            <w:r>
              <w:rPr>
                <w:rFonts w:eastAsia="標楷體" w:ascii="Times New Roman" w:hAnsi="Times New Roman"/>
                <w:b/>
                <w:i w:val="0"/>
                <w:sz w:val="21"/>
              </w:rPr>
              <w:t>目標 (A)</w:t>
            </w:r>
          </w:p>
        </w:tc>
        <w:tc>
          <w:tcPr>
            <w:tcW w:type="dxa" w:w="1368"/>
            <w:shd w:val="clear" w:color="auto" w:fill="D9E2F3"/>
            <w:vAlign w:val="center"/>
          </w:tcPr>
          <w:p>
            <w:pPr>
              <w:spacing w:before="20" w:after="20" w:lineRule="atLeast" w:line="280"/>
              <w:jc w:val="center"/>
            </w:pPr>
            <w:r>
              <w:rPr>
                <w:rFonts w:eastAsia="標楷體" w:ascii="Times New Roman" w:hAnsi="Times New Roman"/>
                <w:b/>
                <w:i w:val="0"/>
                <w:sz w:val="21"/>
              </w:rPr>
              <w:t>真值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MCU 原始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LUT 預測 (mA)</w:t>
            </w:r>
          </w:p>
        </w:tc>
        <w:tc>
          <w:tcPr>
            <w:tcW w:type="dxa" w:w="1760"/>
            <w:shd w:val="clear" w:color="auto" w:fill="D9E2F3"/>
            <w:vAlign w:val="center"/>
          </w:tcPr>
          <w:p>
            <w:pPr>
              <w:spacing w:before="20" w:after="20" w:lineRule="atLeast" w:line="280"/>
              <w:jc w:val="center"/>
            </w:pPr>
            <w:r>
              <w:rPr>
                <w:rFonts w:eastAsia="標楷體" w:ascii="Times New Roman" w:hAnsi="Times New Roman"/>
                <w:b/>
                <w:i w:val="0"/>
                <w:sz w:val="21"/>
              </w:rPr>
              <w:t>預測誤差 (mA)</w:t>
            </w:r>
          </w:p>
        </w:tc>
      </w:tr>
      <w:tr>
        <w:tc>
          <w:tcPr>
            <w:tcW w:type="dxa" w:w="1172"/>
            <w:vAlign w:val="center"/>
          </w:tcPr>
          <w:p>
            <w:pPr>
              <w:spacing w:before="20" w:after="20" w:lineRule="atLeast" w:line="280"/>
              <w:jc w:val="right"/>
            </w:pPr>
            <w:r>
              <w:rPr>
                <w:rFonts w:eastAsia="標楷體" w:ascii="Times New Roman" w:hAnsi="Times New Roman"/>
                <w:b w:val="0"/>
                <w:i w:val="0"/>
                <w:sz w:val="21"/>
              </w:rPr>
              <w:t>0.300</w:t>
            </w:r>
          </w:p>
        </w:tc>
        <w:tc>
          <w:tcPr>
            <w:tcW w:type="dxa" w:w="1368"/>
            <w:vAlign w:val="center"/>
          </w:tcPr>
          <w:p>
            <w:pPr>
              <w:spacing w:before="20" w:after="20" w:lineRule="atLeast" w:line="280"/>
              <w:jc w:val="right"/>
            </w:pPr>
            <w:r>
              <w:rPr>
                <w:rFonts w:eastAsia="標楷體" w:ascii="Times New Roman" w:hAnsi="Times New Roman"/>
                <w:b w:val="0"/>
                <w:i w:val="0"/>
                <w:sz w:val="21"/>
              </w:rPr>
              <w:t>298.31</w:t>
            </w:r>
          </w:p>
        </w:tc>
        <w:tc>
          <w:tcPr>
            <w:tcW w:type="dxa" w:w="2150"/>
            <w:vAlign w:val="center"/>
          </w:tcPr>
          <w:p>
            <w:pPr>
              <w:spacing w:before="20" w:after="20" w:lineRule="atLeast" w:line="280"/>
              <w:jc w:val="right"/>
            </w:pPr>
            <w:r>
              <w:rPr>
                <w:rFonts w:eastAsia="標楷體" w:ascii="Times New Roman" w:hAnsi="Times New Roman"/>
                <w:b w:val="0"/>
                <w:i w:val="0"/>
                <w:sz w:val="21"/>
              </w:rPr>
              <w:t>340.20</w:t>
            </w:r>
          </w:p>
        </w:tc>
        <w:tc>
          <w:tcPr>
            <w:tcW w:type="dxa" w:w="2150"/>
            <w:vAlign w:val="center"/>
          </w:tcPr>
          <w:p>
            <w:pPr>
              <w:spacing w:before="20" w:after="20" w:lineRule="atLeast" w:line="280"/>
              <w:jc w:val="right"/>
            </w:pPr>
            <w:r>
              <w:rPr>
                <w:rFonts w:eastAsia="標楷體" w:ascii="Times New Roman" w:hAnsi="Times New Roman"/>
                <w:b w:val="0"/>
                <w:i w:val="0"/>
                <w:sz w:val="21"/>
              </w:rPr>
              <w:t>298.10</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0.750</w:t>
            </w:r>
          </w:p>
        </w:tc>
        <w:tc>
          <w:tcPr>
            <w:tcW w:type="dxa" w:w="1368"/>
            <w:vAlign w:val="center"/>
          </w:tcPr>
          <w:p>
            <w:pPr>
              <w:spacing w:before="20" w:after="20" w:lineRule="atLeast" w:line="280"/>
              <w:jc w:val="right"/>
            </w:pPr>
            <w:r>
              <w:rPr>
                <w:rFonts w:eastAsia="標楷體" w:ascii="Times New Roman" w:hAnsi="Times New Roman"/>
                <w:b w:val="0"/>
                <w:i w:val="0"/>
                <w:sz w:val="21"/>
              </w:rPr>
              <w:t>748.78</w:t>
            </w:r>
          </w:p>
        </w:tc>
        <w:tc>
          <w:tcPr>
            <w:tcW w:type="dxa" w:w="2150"/>
            <w:vAlign w:val="center"/>
          </w:tcPr>
          <w:p>
            <w:pPr>
              <w:spacing w:before="20" w:after="20" w:lineRule="atLeast" w:line="280"/>
              <w:jc w:val="right"/>
            </w:pPr>
            <w:r>
              <w:rPr>
                <w:rFonts w:eastAsia="標楷體" w:ascii="Times New Roman" w:hAnsi="Times New Roman"/>
                <w:b w:val="0"/>
                <w:i w:val="0"/>
                <w:sz w:val="21"/>
              </w:rPr>
              <w:t>851.32</w:t>
            </w:r>
          </w:p>
        </w:tc>
        <w:tc>
          <w:tcPr>
            <w:tcW w:type="dxa" w:w="2150"/>
            <w:vAlign w:val="center"/>
          </w:tcPr>
          <w:p>
            <w:pPr>
              <w:spacing w:before="20" w:after="20" w:lineRule="atLeast" w:line="280"/>
              <w:jc w:val="right"/>
            </w:pPr>
            <w:r>
              <w:rPr>
                <w:rFonts w:eastAsia="標楷體" w:ascii="Times New Roman" w:hAnsi="Times New Roman"/>
                <w:b w:val="0"/>
                <w:i w:val="0"/>
                <w:sz w:val="21"/>
              </w:rPr>
              <w:t>748.56</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1.250</w:t>
            </w:r>
          </w:p>
        </w:tc>
        <w:tc>
          <w:tcPr>
            <w:tcW w:type="dxa" w:w="1368"/>
            <w:vAlign w:val="center"/>
          </w:tcPr>
          <w:p>
            <w:pPr>
              <w:spacing w:before="20" w:after="20" w:lineRule="atLeast" w:line="280"/>
              <w:jc w:val="right"/>
            </w:pPr>
            <w:r>
              <w:rPr>
                <w:rFonts w:eastAsia="標楷體" w:ascii="Times New Roman" w:hAnsi="Times New Roman"/>
                <w:b w:val="0"/>
                <w:i w:val="0"/>
                <w:sz w:val="21"/>
              </w:rPr>
              <w:t>1248.46</w:t>
            </w:r>
          </w:p>
        </w:tc>
        <w:tc>
          <w:tcPr>
            <w:tcW w:type="dxa" w:w="2150"/>
            <w:vAlign w:val="center"/>
          </w:tcPr>
          <w:p>
            <w:pPr>
              <w:spacing w:before="20" w:after="20" w:lineRule="atLeast" w:line="280"/>
              <w:jc w:val="right"/>
            </w:pPr>
            <w:r>
              <w:rPr>
                <w:rFonts w:eastAsia="標楷體" w:ascii="Times New Roman" w:hAnsi="Times New Roman"/>
                <w:b w:val="0"/>
                <w:i w:val="0"/>
                <w:sz w:val="21"/>
              </w:rPr>
              <w:t>1418.52</w:t>
            </w:r>
          </w:p>
        </w:tc>
        <w:tc>
          <w:tcPr>
            <w:tcW w:type="dxa" w:w="2150"/>
            <w:vAlign w:val="center"/>
          </w:tcPr>
          <w:p>
            <w:pPr>
              <w:spacing w:before="20" w:after="20" w:lineRule="atLeast" w:line="280"/>
              <w:jc w:val="right"/>
            </w:pPr>
            <w:r>
              <w:rPr>
                <w:rFonts w:eastAsia="標楷體" w:ascii="Times New Roman" w:hAnsi="Times New Roman"/>
                <w:b w:val="0"/>
                <w:i w:val="0"/>
                <w:sz w:val="21"/>
              </w:rPr>
              <w:t>1248.29</w:t>
            </w:r>
          </w:p>
        </w:tc>
        <w:tc>
          <w:tcPr>
            <w:tcW w:type="dxa" w:w="1760"/>
            <w:vAlign w:val="center"/>
          </w:tcPr>
          <w:p>
            <w:pPr>
              <w:spacing w:before="20" w:after="20" w:lineRule="atLeast" w:line="280"/>
              <w:jc w:val="right"/>
            </w:pPr>
            <w:r>
              <w:rPr>
                <w:rFonts w:eastAsia="標楷體" w:ascii="Times New Roman" w:hAnsi="Times New Roman"/>
                <w:b w:val="0"/>
                <w:i w:val="0"/>
                <w:sz w:val="21"/>
              </w:rPr>
              <w:t>−0.17</w:t>
            </w:r>
          </w:p>
        </w:tc>
      </w:tr>
      <w:tr>
        <w:tc>
          <w:tcPr>
            <w:tcW w:type="dxa" w:w="1172"/>
            <w:vAlign w:val="center"/>
          </w:tcPr>
          <w:p>
            <w:pPr>
              <w:spacing w:before="20" w:after="20" w:lineRule="atLeast" w:line="280"/>
              <w:jc w:val="right"/>
            </w:pPr>
            <w:r>
              <w:rPr>
                <w:rFonts w:eastAsia="標楷體" w:ascii="Times New Roman" w:hAnsi="Times New Roman"/>
                <w:b w:val="0"/>
                <w:i w:val="0"/>
                <w:sz w:val="21"/>
              </w:rPr>
              <w:t>1.750</w:t>
            </w:r>
          </w:p>
        </w:tc>
        <w:tc>
          <w:tcPr>
            <w:tcW w:type="dxa" w:w="1368"/>
            <w:vAlign w:val="center"/>
          </w:tcPr>
          <w:p>
            <w:pPr>
              <w:spacing w:before="20" w:after="20" w:lineRule="atLeast" w:line="280"/>
              <w:jc w:val="right"/>
            </w:pPr>
            <w:r>
              <w:rPr>
                <w:rFonts w:eastAsia="標楷體" w:ascii="Times New Roman" w:hAnsi="Times New Roman"/>
                <w:b w:val="0"/>
                <w:i w:val="0"/>
                <w:sz w:val="21"/>
              </w:rPr>
              <w:t>1748.61</w:t>
            </w:r>
          </w:p>
        </w:tc>
        <w:tc>
          <w:tcPr>
            <w:tcW w:type="dxa" w:w="2150"/>
            <w:vAlign w:val="center"/>
          </w:tcPr>
          <w:p>
            <w:pPr>
              <w:spacing w:before="20" w:after="20" w:lineRule="atLeast" w:line="280"/>
              <w:jc w:val="right"/>
            </w:pPr>
            <w:r>
              <w:rPr>
                <w:rFonts w:eastAsia="標楷體" w:ascii="Times New Roman" w:hAnsi="Times New Roman"/>
                <w:b w:val="0"/>
                <w:i w:val="0"/>
                <w:sz w:val="21"/>
              </w:rPr>
              <w:t>1986.30</w:t>
            </w:r>
          </w:p>
        </w:tc>
        <w:tc>
          <w:tcPr>
            <w:tcW w:type="dxa" w:w="2150"/>
            <w:vAlign w:val="center"/>
          </w:tcPr>
          <w:p>
            <w:pPr>
              <w:spacing w:before="20" w:after="20" w:lineRule="atLeast" w:line="280"/>
              <w:jc w:val="right"/>
            </w:pPr>
            <w:r>
              <w:rPr>
                <w:rFonts w:eastAsia="標楷體" w:ascii="Times New Roman" w:hAnsi="Times New Roman"/>
                <w:b w:val="0"/>
                <w:i w:val="0"/>
                <w:sz w:val="21"/>
              </w:rPr>
              <w:t>1748.44</w:t>
            </w:r>
          </w:p>
        </w:tc>
        <w:tc>
          <w:tcPr>
            <w:tcW w:type="dxa" w:w="1760"/>
            <w:vAlign w:val="center"/>
          </w:tcPr>
          <w:p>
            <w:pPr>
              <w:spacing w:before="20" w:after="20" w:lineRule="atLeast" w:line="280"/>
              <w:jc w:val="right"/>
            </w:pPr>
            <w:r>
              <w:rPr>
                <w:rFonts w:eastAsia="標楷體" w:ascii="Times New Roman" w:hAnsi="Times New Roman"/>
                <w:b w:val="0"/>
                <w:i w:val="0"/>
                <w:sz w:val="21"/>
              </w:rPr>
              <w:t>−0.16</w:t>
            </w:r>
          </w:p>
        </w:tc>
      </w:tr>
    </w:tbl>
    <w:p>
      <w:pPr>
        <w:spacing w:lineRule="atLeast" w:line="480"/>
        <w:ind w:firstLine="480"/>
        <w:jc w:val="both"/>
      </w:pPr>
      <w:r>
        <w:rPr>
          <w:rFonts w:eastAsia="標楷體" w:ascii="Times New Roman" w:hAnsi="Times New Roman"/>
          <w:b w:val="0"/>
          <w:i w:val="0"/>
          <w:sz w:val="24"/>
        </w:rPr>
        <w:t xml:space="preserve">全範圍誤差 </w:t>
      </w:r>
      <w:r>
        <w:rPr>
          <w:rFonts w:eastAsia="標楷體" w:ascii="Times New Roman" w:hAnsi="Times New Roman"/>
          <w:b/>
          <w:i w:val="0"/>
          <w:sz w:val="24"/>
        </w:rPr>
        <w:t>&lt; 0.21 mA</w:t>
      </w:r>
      <w:r>
        <w:rPr>
          <w:rFonts w:eastAsia="標楷體" w:ascii="Times New Roman" w:hAnsi="Times New Roman"/>
          <w:b w:val="0"/>
          <w:i w:val="0"/>
          <w:sz w:val="24"/>
        </w:rPr>
        <w:t xml:space="preserve">，相當於 1.75 A 的 </w:t>
      </w:r>
      <w:r>
        <w:rPr>
          <w:rFonts w:eastAsia="標楷體" w:ascii="Times New Roman" w:hAnsi="Times New Roman"/>
          <w:b/>
          <w:i w:val="0"/>
          <w:sz w:val="24"/>
        </w:rPr>
        <w:t>0.012%</w:t>
      </w:r>
      <w:r>
        <w:rPr>
          <w:rFonts w:eastAsia="標楷體" w:ascii="Times New Roman" w:hAnsi="Times New Roman"/>
          <w:b w:val="0"/>
          <w:i w:val="0"/>
          <w:sz w:val="24"/>
        </w:rPr>
        <w:t xml:space="preserve">（&lt; 1‰）。校正前原始偏差 +41～+238 mA（約 +13%～+16% 系統性偏高），校正後降至 &lt; 1‰，連同 shunt 容差一併校正，實測精度優於 INA226 datasheet 標稱的 ±0.1%（datasheet 不含 shunt 容差）。此校正成果為第四章所有以電流積分為基礎的估測提供了可信賴的量測根基。校正過程完整紀錄見 [DOC/校正紀錄/2026-05-07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w:t>
      </w:r>
    </w:p>
    <w:p>
      <w:pPr>
        <w:spacing w:before="240" w:after="120" w:lineRule="atLeast" w:line="360"/>
        <w:jc w:val="left"/>
      </w:pPr>
      <w:r>
        <w:rPr>
          <w:rFonts w:eastAsia="標楷體" w:ascii="Times New Roman" w:hAnsi="Times New Roman"/>
          <w:b w:val="0"/>
          <w:i w:val="0"/>
          <w:sz w:val="28"/>
        </w:rPr>
        <w:t xml:space="preserve">3.4 跨輪自動化測試協定</w:t>
      </w:r>
    </w:p>
    <w:p>
      <w:pPr>
        <w:spacing w:lineRule="atLeast" w:line="480"/>
        <w:ind w:firstLine="480"/>
        <w:jc w:val="both"/>
      </w:pPr>
      <w:r>
        <w:rPr>
          <w:rFonts w:eastAsia="標楷體" w:ascii="Times New Roman" w:hAnsi="Times New Roman"/>
          <w:b w:val="0"/>
          <w:i w:val="0"/>
          <w:sz w:val="24"/>
        </w:rPr>
        <w:t>第四章的方法比較需要橫跨多種放電倍率、且可跨多輪累積的乾淨資料。本研究設計了一套由上位機自動執行的跨輪測試協定。</w:t>
      </w:r>
    </w:p>
    <w:p>
      <w:pPr>
        <w:spacing w:lineRule="atLeast" w:line="480"/>
        <w:ind w:firstLine="480"/>
        <w:jc w:val="both"/>
      </w:pPr>
      <w:r>
        <w:rPr>
          <w:rFonts w:eastAsia="標楷體" w:ascii="Times New Roman" w:hAnsi="Times New Roman"/>
          <w:b/>
          <w:i w:val="0"/>
          <w:sz w:val="24"/>
        </w:rPr>
        <w:t>一輪的結構</w:t>
      </w:r>
      <w:r>
        <w:rPr>
          <w:rFonts w:eastAsia="標楷體" w:ascii="Times New Roman" w:hAnsi="Times New Roman"/>
          <w:b w:val="0"/>
          <w:i w:val="0"/>
          <w:sz w:val="24"/>
        </w:rPr>
        <w:t>：一輪由四組「充電 → 休息 → 放電 → 休息」串成，充電一律以 0.5C 進行（高倍率充電會傷害電池並污染健康度基準），四組的放電倍率依序為 0.5C、1.0C、1.5C、2.0C，每次轉向之間休息 30 分鐘讓電池鬆弛。一輪約 16～18 小時。協定流程如表 3-4：每一組都是相同的四步驟，只有放電倍率不同。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5058"/>
        <w:gridCol w:w="674"/>
        <w:gridCol w:w="2268"/>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組別</w:t>
            </w:r>
          </w:p>
        </w:tc>
        <w:tc>
          <w:tcPr>
            <w:tcW w:type="dxa" w:w="5058"/>
            <w:shd w:val="clear" w:color="auto" w:fill="D9E2F3"/>
            <w:vAlign w:val="center"/>
          </w:tcPr>
          <w:p>
            <w:pPr>
              <w:spacing w:before="20" w:after="20" w:lineRule="atLeast" w:line="280"/>
              <w:jc w:val="center"/>
            </w:pPr>
            <w:r>
              <w:rPr>
                <w:rFonts w:eastAsia="標楷體" w:ascii="Times New Roman" w:hAnsi="Times New Roman"/>
                <w:b/>
                <w:i w:val="0"/>
                <w:sz w:val="21"/>
              </w:rPr>
              <w:t>一組的流程（充電固定 0.5C）</w:t>
            </w:r>
          </w:p>
        </w:tc>
        <w:tc>
          <w:tcPr>
            <w:tcW w:type="dxa" w:w="674"/>
            <w:shd w:val="clear" w:color="auto" w:fill="D9E2F3"/>
            <w:vAlign w:val="center"/>
          </w:tcPr>
          <w:p>
            <w:pPr>
              <w:spacing w:before="20" w:after="20" w:lineRule="atLeast" w:line="280"/>
              <w:jc w:val="center"/>
            </w:pPr>
            <w:r>
              <w:rPr>
                <w:rFonts w:eastAsia="標楷體" w:ascii="Times New Roman" w:hAnsi="Times New Roman"/>
                <w:b/>
                <w:i w:val="0"/>
                <w:sz w:val="21"/>
              </w:rPr>
              <w:t>放電倍率</w:t>
            </w:r>
          </w:p>
        </w:tc>
        <w:tc>
          <w:tcPr>
            <w:tcW w:type="dxa" w:w="2268"/>
            <w:shd w:val="clear" w:color="auto" w:fill="D9E2F3"/>
            <w:vAlign w:val="center"/>
          </w:tcPr>
          <w:p>
            <w:pPr>
              <w:spacing w:before="20" w:after="20" w:lineRule="atLeast" w:line="280"/>
              <w:jc w:val="center"/>
            </w:pPr>
            <w:r>
              <w:rPr>
                <w:rFonts w:eastAsia="標楷體" w:ascii="Times New Roman" w:hAnsi="Times New Roman"/>
                <w:b/>
                <w:i w:val="0"/>
                <w:sz w:val="21"/>
              </w:rPr>
              <w:t>目的</w:t>
            </w:r>
          </w:p>
        </w:tc>
      </w:tr>
      <w:tr>
        <w:tc>
          <w:tcPr>
            <w:tcW w:type="dxa" w:w="600"/>
            <w:vAlign w:val="center"/>
          </w:tcPr>
          <w:p>
            <w:pPr>
              <w:spacing w:before="20" w:after="20" w:lineRule="atLeast" w:line="280"/>
              <w:jc w:val="center"/>
            </w:pPr>
            <w:r>
              <w:rPr>
                <w:rFonts w:eastAsia="標楷體" w:ascii="Times New Roman" w:hAnsi="Times New Roman"/>
                <w:b w:val="0"/>
                <w:i w:val="0"/>
                <w:sz w:val="21"/>
              </w:rPr>
              <w:t>1</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0.5C</w:t>
            </w:r>
          </w:p>
        </w:tc>
        <w:tc>
          <w:tcPr>
            <w:tcW w:type="dxa" w:w="2268"/>
            <w:vAlign w:val="center"/>
          </w:tcPr>
          <w:p>
            <w:pPr>
              <w:spacing w:before="20" w:after="20" w:lineRule="atLeast" w:line="280"/>
              <w:jc w:val="left"/>
            </w:pPr>
            <w:r>
              <w:rPr>
                <w:rFonts w:eastAsia="標楷體" w:ascii="Times New Roman" w:hAnsi="Times New Roman"/>
                <w:b w:val="0"/>
                <w:i w:val="0"/>
                <w:sz w:val="21"/>
              </w:rPr>
              <w:t>取得 0.5C 基準放電曲線</w:t>
            </w:r>
          </w:p>
        </w:tc>
      </w:tr>
      <w:tr>
        <w:tc>
          <w:tcPr>
            <w:tcW w:type="dxa" w:w="600"/>
            <w:vAlign w:val="center"/>
          </w:tcPr>
          <w:p>
            <w:pPr>
              <w:spacing w:before="20" w:after="20" w:lineRule="atLeast" w:line="280"/>
              <w:jc w:val="center"/>
            </w:pPr>
            <w:r>
              <w:rPr>
                <w:rFonts w:eastAsia="標楷體" w:ascii="Times New Roman" w:hAnsi="Times New Roman"/>
                <w:b w:val="0"/>
                <w:i w:val="0"/>
                <w:sz w:val="21"/>
              </w:rPr>
              <w:t>2</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3</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1.5C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4</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2.0C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bl>
    <w:p>
      <w:pPr>
        <w:spacing w:lineRule="atLeast" w:line="480"/>
        <w:ind w:firstLine="480"/>
        <w:jc w:val="both"/>
      </w:pPr>
      <w:r>
        <w:rPr>
          <w:rFonts w:eastAsia="標楷體" w:ascii="Times New Roman" w:hAnsi="Times New Roman"/>
          <w:b/>
          <w:i w:val="0"/>
          <w:sz w:val="24"/>
        </w:rPr>
        <w:t>CC-CV 充電終止判斷</w:t>
      </w:r>
      <w:r>
        <w:rPr>
          <w:rFonts w:eastAsia="標楷體" w:ascii="Times New Roman" w:hAnsi="Times New Roman"/>
          <w:b w:val="0"/>
          <w:i w:val="0"/>
          <w:sz w:val="24"/>
        </w:rPr>
        <w:t>：充飽偵測有兩條路徑（避免單點誤觸發）。其一為</w:t>
      </w:r>
      <w:r>
        <w:rPr>
          <w:rFonts w:eastAsia="標楷體" w:ascii="Times New Roman" w:hAnsi="Times New Roman"/>
          <w:b/>
          <w:i w:val="0"/>
          <w:sz w:val="24"/>
        </w:rPr>
        <w:t>正常終止</w:t>
      </w:r>
      <w:r>
        <w:rPr>
          <w:rFonts w:eastAsia="標楷體" w:ascii="Times New Roman" w:hAnsi="Times New Roman"/>
          <w:b w:val="0"/>
          <w:i w:val="0"/>
          <w:sz w:val="24"/>
        </w:rPr>
        <w:t>——</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cv-100</w:t>
      </w:r>
      <w:r>
        <w:rPr>
          <w:rFonts w:eastAsia="標楷體" w:ascii="Times New Roman" w:hAnsi="Times New Roman"/>
          <w:b w:val="0"/>
          <w:i w:val="0"/>
          <w:sz w:val="24"/>
        </w:rPr>
        <w:t xml:space="preserve"> mV</w:t>
      </w:r>
      <w:r>
        <w:rPr>
          <w:rFonts w:eastAsia="標楷體" w:ascii="Times New Roman" w:hAnsi="Times New Roman"/>
          <w:b w:val="0"/>
          <w:i w:val="0"/>
          <w:sz w:val="24"/>
        </w:rPr>
        <w:t xml:space="preserve"> 且 </w:t>
      </w:r>
      <w:r>
        <w:rPr>
          <w:rFonts w:eastAsia="標楷體" w:ascii="Times New Roman" w:hAnsi="Times New Roman"/>
          <w:b w:val="0"/>
          <w:i w:val="0"/>
          <w:sz w:val="24"/>
        </w:rPr>
        <w:t>I ≤ 0.1</w:t>
      </w:r>
      <w:r>
        <w:rPr>
          <w:rFonts w:eastAsia="標楷體" w:ascii="Times New Roman" w:hAnsi="Times New Roman"/>
          <w:b w:val="0"/>
          <w:i w:val="0"/>
          <w:sz w:val="24"/>
        </w:rPr>
        <w:t>C，且</w:t>
      </w:r>
      <w:r>
        <w:rPr>
          <w:rFonts w:eastAsia="標楷體" w:ascii="Times New Roman" w:hAnsi="Times New Roman"/>
          <w:b/>
          <w:i w:val="0"/>
          <w:sz w:val="24"/>
        </w:rPr>
        <w:t>連續滿足 3 秒</w:t>
      </w:r>
      <w:r>
        <w:rPr>
          <w:rFonts w:eastAsia="標楷體" w:ascii="Times New Roman" w:hAnsi="Times New Roman"/>
          <w:b w:val="0"/>
          <w:i w:val="0"/>
          <w:sz w:val="24"/>
        </w:rPr>
        <w:t xml:space="preserve">、總經過時間 </w:t>
      </w:r>
      <w:r>
        <w:rPr>
          <w:rFonts w:eastAsia="標楷體" w:ascii="Times New Roman" w:hAnsi="Times New Roman"/>
          <w:b w:val="0"/>
          <w:i w:val="0"/>
          <w:sz w:val="24"/>
        </w:rPr>
        <w:t>≥ 30</w:t>
      </w:r>
      <w:r>
        <w:rPr>
          <w:rFonts w:eastAsia="標楷體" w:ascii="Times New Roman" w:hAnsi="Times New Roman"/>
          <w:b w:val="0"/>
          <w:i w:val="0"/>
          <w:sz w:val="24"/>
        </w:rPr>
        <w:t xml:space="preserve"> s 才成立（持續性 + 穩態時間，封鎖「</w:t>
      </w:r>
      <w:r>
        <w:rPr>
          <w:rFonts w:eastAsia="標楷體" w:ascii="Times New Roman" w:hAnsi="Times New Roman"/>
          <w:b w:val="0"/>
          <w:i w:val="0"/>
          <w:sz w:val="24"/>
        </w:rPr>
        <w:t>t=0</w:t>
      </w:r>
      <w:r>
        <w:rPr>
          <w:rFonts w:eastAsia="標楷體" w:ascii="Times New Roman" w:hAnsi="Times New Roman"/>
          <w:b w:val="0"/>
          <w:i w:val="0"/>
          <w:sz w:val="24"/>
        </w:rPr>
        <w:t xml:space="preserve"> 時開路電壓近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、電流尚為 0」的瞬時假觸發）；其二為</w:t>
      </w:r>
      <w:r>
        <w:rPr>
          <w:rFonts w:eastAsia="標楷體" w:ascii="Times New Roman" w:hAnsi="Times New Roman"/>
          <w:b/>
          <w:i w:val="0"/>
          <w:sz w:val="24"/>
        </w:rPr>
        <w:t>已飽電旁路</w:t>
      </w:r>
      <w:r>
        <w:rPr>
          <w:rFonts w:eastAsia="標楷體" w:ascii="Times New Roman" w:hAnsi="Times New Roman"/>
          <w:b w:val="0"/>
          <w:i w:val="0"/>
          <w:sz w:val="24"/>
        </w:rPr>
        <w:t xml:space="preserve">——操作者放上接近飽電的電池時，在起步 5 s 視窗內若 </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cv-30</w:t>
      </w:r>
      <w:r>
        <w:rPr>
          <w:rFonts w:eastAsia="標楷體" w:ascii="Times New Roman" w:hAnsi="Times New Roman"/>
          <w:b w:val="0"/>
          <w:i w:val="0"/>
          <w:sz w:val="24"/>
        </w:rPr>
        <w:t xml:space="preserve"> mV</w:t>
      </w:r>
      <w:r>
        <w:rPr>
          <w:rFonts w:eastAsia="標楷體" w:ascii="Times New Roman" w:hAnsi="Times New Roman"/>
          <w:b w:val="0"/>
          <w:i w:val="0"/>
          <w:sz w:val="24"/>
        </w:rPr>
        <w:t>、</w:t>
      </w:r>
      <w:r>
        <w:rPr>
          <w:rFonts w:eastAsia="標楷體" w:ascii="Times New Roman" w:hAnsi="Times New Roman"/>
          <w:b w:val="0"/>
          <w:i w:val="0"/>
          <w:sz w:val="24"/>
        </w:rPr>
        <w:t>I &lt; 50</w:t>
      </w:r>
      <w:r>
        <w:rPr>
          <w:rFonts w:eastAsia="標楷體" w:ascii="Times New Roman" w:hAnsi="Times New Roman"/>
          <w:b w:val="0"/>
          <w:i w:val="0"/>
          <w:sz w:val="24"/>
        </w:rPr>
        <w:t xml:space="preserve"> mA 且從未進入真正 CC，則整步跳過（記 </w:t>
      </w:r>
      <w:r>
        <w:rPr>
          <w:rFonts w:eastAsia="標楷體" w:ascii="Consolas" w:hAnsi="Consolas"/>
          <w:b w:val="0"/>
          <w:i w:val="0"/>
          <w:sz w:val="21"/>
        </w:rPr>
        <w:t xml:space="preserve">note=already</w:t>
      </w:r>
      <w:r>
        <w:rPr>
          <w:rFonts w:eastAsia="標楷體" w:ascii="Consolas" w:hAnsi="Consolas"/>
          <w:b w:val="0"/>
          <w:i w:val="0"/>
          <w:sz w:val="21"/>
          <w:vertAlign w:val="subscript"/>
        </w:rPr>
        <w:t xml:space="preserve">full</w:t>
      </w:r>
      <w:r>
        <w:rPr>
          <w:rFonts w:eastAsia="標楷體" w:ascii="Times New Roman" w:hAnsi="Times New Roman"/>
          <w:b w:val="0"/>
          <w:i w:val="0"/>
          <w:sz w:val="24"/>
        </w:rPr>
        <w:t>），免去對隔夜飽電電池空跑數分鐘無意義的 CV taper。</w:t>
      </w:r>
    </w:p>
    <w:p>
      <w:pPr>
        <w:spacing w:lineRule="atLeast" w:line="480"/>
        <w:ind w:firstLine="480"/>
        <w:jc w:val="both"/>
      </w:pPr>
      <w:r>
        <w:rPr>
          <w:rFonts w:eastAsia="標楷體" w:ascii="Times New Roman" w:hAnsi="Times New Roman"/>
          <w:b/>
          <w:i w:val="0"/>
          <w:sz w:val="24"/>
        </w:rPr>
        <w:t>放電中的 dV/dI 擾動</w:t>
      </w:r>
      <w:r>
        <w:rPr>
          <w:rFonts w:eastAsia="標楷體" w:ascii="Times New Roman" w:hAnsi="Times New Roman"/>
          <w:b w:val="0"/>
          <w:i w:val="0"/>
          <w:sz w:val="24"/>
        </w:rPr>
        <w:t xml:space="preserve">：放電步在 CC 基礎上週期性注入電流擾動，直接服務第四章的動態阻抗法 [1]。每 60 s 由基礎倍率短暫步降到 0.2C、dwell 1 s 後步回，取步降前後兩個穩態樣本計算 </w:t>
      </w:r>
      <w:r>
        <w:rPr>
          <w:rFonts w:eastAsia="標楷體" w:ascii="Times New Roman" w:hAnsi="Times New Roman"/>
          <w:b w:val="0"/>
          <w:i w:val="0"/>
          <w:sz w:val="24"/>
        </w:rPr>
        <w:t>Δ V/Δ I</w:t>
      </w:r>
      <w:r>
        <w:rPr>
          <w:rFonts w:eastAsia="標楷體" w:ascii="Times New Roman" w:hAnsi="Times New Roman"/>
          <w:b w:val="0"/>
          <w:i w:val="0"/>
          <w:sz w:val="24"/>
        </w:rPr>
        <w:t>，即該 SOC 下的動態阻抗估計；基礎倍率越高，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訊噪比越好，故四種放電倍率全數注入擾動。庫倫計數涵蓋擾動期間的秒數（含 dwell），避免約 3% 的庫倫低估。</w:t>
      </w:r>
    </w:p>
    <w:p>
      <w:pPr>
        <w:spacing w:lineRule="atLeast" w:line="480"/>
        <w:ind w:firstLine="480"/>
        <w:jc w:val="both"/>
      </w:pPr>
      <w:r>
        <w:rPr>
          <w:rFonts w:eastAsia="標楷體" w:ascii="Times New Roman" w:hAnsi="Times New Roman"/>
          <w:b/>
          <w:i w:val="0"/>
          <w:sz w:val="24"/>
        </w:rPr>
        <w:t xml:space="preserve">持久化 cycle</w:t>
      </w:r>
      <w:r>
        <w:rPr>
          <w:rFonts w:eastAsia="標楷體" w:ascii="Times New Roman" w:hAnsi="Times New Roman"/>
          <w:b/>
          <w:i w:val="0"/>
          <w:sz w:val="24"/>
          <w:vertAlign w:val="subscript"/>
        </w:rPr>
        <w:t xml:space="preserve">log</w:t>
      </w:r>
      <w:r>
        <w:rPr>
          <w:rFonts w:eastAsia="標楷體" w:ascii="Times New Roman" w:hAnsi="Times New Roman"/>
          <w:b w:val="0"/>
          <w:i w:val="0"/>
          <w:sz w:val="24"/>
        </w:rPr>
        <w:t xml:space="preserve">：每完成一個充電或放電步，即向 </w:t>
      </w:r>
      <w:r>
        <w:rPr>
          <w:rFonts w:eastAsia="標楷體" w:ascii="Consolas" w:hAnsi="Consolas"/>
          <w:b w:val="0"/>
          <w:i w:val="0"/>
          <w:sz w:val="21"/>
        </w:rPr>
        <w:t xml:space="preserve">cycle</w:t>
      </w:r>
      <w:r>
        <w:rPr>
          <w:rFonts w:eastAsia="標楷體" w:ascii="Consolas" w:hAnsi="Consolas"/>
          <w:b w:val="0"/>
          <w:i w:val="0"/>
          <w:sz w:val="21"/>
          <w:vertAlign w:val="subscript"/>
        </w:rPr>
        <w:t xml:space="preserve">log</w:t>
      </w:r>
      <w:r>
        <w:rPr>
          <w:rFonts w:eastAsia="標楷體" w:ascii="Consolas" w:hAnsi="Consolas"/>
          <w:b w:val="0"/>
          <w:i w:val="0"/>
          <w:sz w:val="21"/>
        </w:rPr>
        <w:t xml:space="preserve">.csv</w:t>
      </w:r>
      <w:r>
        <w:rPr>
          <w:rFonts w:eastAsia="標楷體" w:ascii="Times New Roman" w:hAnsi="Times New Roman"/>
          <w:b w:val="0"/>
          <w:i w:val="0"/>
          <w:sz w:val="24"/>
        </w:rPr>
        <w:t xml:space="preserve"> 追加一列，記錄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、方向、倍率、起訖電壓、安時量、容量保持率與累積 Ah。容量保持率定義為</w:t>
      </w:r>
    </w:p>
    <w:p>
      <w:pPr>
        <w:spacing w:before="120" w:after="120" w:lineRule="atLeast" w:line="480"/>
        <w:jc w:val="center"/>
      </w:pPr>
      <w:r>
        <w:rPr>
          <w:rFonts w:eastAsia="標楷體" w:ascii="Cambria Math" w:hAnsi="Cambria Math"/>
          <w:sz w:val="24"/>
        </w:rPr>
        <w:t xml:space="preserve">q</w:t>
      </w:r>
      <w:r>
        <w:rPr>
          <w:rFonts w:eastAsia="標楷體" w:ascii="Cambria Math" w:hAnsi="Cambria Math"/>
          <w:sz w:val="24"/>
          <w:vertAlign w:val="subscript"/>
        </w:rPr>
        <w:t xml:space="preserve">retention</w:t>
      </w:r>
      <w:r>
        <w:rPr>
          <w:rFonts w:eastAsia="標楷體" w:ascii="Cambria Math" w:hAnsi="Cambria Math"/>
          <w:sz w:val="24"/>
        </w:rPr>
        <w:t xml:space="preserve"> (%) = 100 × (q</w:t>
      </w:r>
      <w:r>
        <w:rPr>
          <w:rFonts w:eastAsia="標楷體" w:ascii="Cambria Math" w:hAnsi="Cambria Math"/>
          <w:sz w:val="24"/>
          <w:vertAlign w:val="subscript"/>
        </w:rPr>
        <w:t xml:space="preserve">actual</w:t>
      </w:r>
      <w:r>
        <w:rPr>
          <w:rFonts w:eastAsia="標楷體" w:ascii="Cambria Math" w:hAnsi="Cambria Math"/>
          <w:sz w:val="24"/>
        </w:rPr>
        <w:t xml:space="preserve">)/(q</w:t>
      </w:r>
      <w:r>
        <w:rPr>
          <w:rFonts w:eastAsia="標楷體" w:ascii="Cambria Math" w:hAnsi="Cambria Math"/>
          <w:sz w:val="24"/>
          <w:vertAlign w:val="subscript"/>
        </w:rPr>
        <w:t xml:space="preserve">rated</w:t>
      </w:r>
      <w:r>
        <w:rPr>
          <w:rFonts w:eastAsia="標楷體" w:ascii="Cambria Math" w:hAnsi="Cambria Math"/>
          <w:sz w:val="24"/>
        </w:rPr>
        <w:t xml:space="preserve">)</w:t>
      </w:r>
    </w:p>
    <w:p>
      <w:pPr>
        <w:spacing w:lineRule="atLeast" w:line="360"/>
        <w:ind w:firstLine="480"/>
        <w:jc w:val="both"/>
      </w:pP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 在每次放電到截止時遞增，充電繼承其後放電的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（一對充放電共用一個 cycle</w:t>
      </w:r>
      <w:r>
        <w:rPr>
          <w:rFonts w:eastAsia="標楷體" w:ascii="Times New Roman" w:hAnsi="Times New Roman"/>
          <w:b w:val="0"/>
          <w:i w:val="0"/>
          <w:sz w:val="24"/>
          <w:vertAlign w:val="subscript"/>
        </w:rPr>
        <w:t xml:space="preserve">id</w:t>
      </w:r>
      <w:r>
        <w:rPr>
          <w:rFonts w:eastAsia="標楷體" w:ascii="Times New Roman" w:hAnsi="Times New Roman"/>
          <w:b w:val="0"/>
          <w:i w:val="0"/>
          <w:sz w:val="24"/>
        </w:rPr>
        <w:t xml:space="preserve">）；跨次執行時程式自動讀回既有 CSV，續接 </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／累積 Ah，達成無縫跨輪累積。本研究以連續三輪 fresh-cell baseline 驗證 0.5C cycle 的容量保持率是否落在 95～100%、並計算輪間變異性，作為進入後續測試前的資料品質閘門（變異性分析見第五章）。</w:t>
      </w:r>
    </w:p>
    <w:p>
      <w:pPr>
        <w:spacing w:lineRule="atLeast" w:line="480"/>
        <w:ind w:firstLine="480"/>
        <w:jc w:val="both"/>
      </w:pPr>
      <w:r>
        <w:rPr>
          <w:rFonts w:eastAsia="標楷體" w:ascii="Times New Roman" w:hAnsi="Times New Roman"/>
          <w:b w:val="0"/>
          <w:i w:val="0"/>
          <w:sz w:val="24"/>
        </w:rPr>
        <w:t>至此，本章已交代第四章三種 SOC 估測方法所需的主要基礎設施：統一的韌體載體（3.2）、可信的電流量測（3.3）、可靠的儀器自動化（3.4），以及乾淨且可累積的測試數據（3.5）。下一章將在此平台上，依「原理 → 演算法 → 嵌入式實作 → 實驗結果」的一致結構，分別實作並公平比較庫倫計數法、擴展卡爾曼濾波器與動態阻抗法。</w:t>
      </w:r>
    </w:p>
    <w:p>
      <w:pPr>
        <w:pStyle w:val="1"/>
      </w:pPr>
      <w:r>
        <w:rPr>
          <w:rFonts w:ascii="Times New Roman" w:hAnsi="Times New Roman" w:eastAsia="標楷體"/>
          <w:b/>
          <w:sz w:val="32"/>
          <w:color w:val="000000"/>
        </w:rPr>
        <w:t>第四章　SOC 估測方法之實作與比較</w:t>
      </w:r>
    </w:p>
    <w:p>
      <w:pPr>
        <w:spacing w:before="240" w:after="120" w:lineRule="atLeast" w:line="360"/>
        <w:jc w:val="left"/>
      </w:pPr>
      <w:r>
        <w:rPr>
          <w:rFonts w:eastAsia="標楷體" w:ascii="Times New Roman" w:hAnsi="Times New Roman"/>
          <w:b/>
          <w:i w:val="0"/>
          <w:sz w:val="28"/>
        </w:rPr>
        <w:t>4.0 本章共同前提</w:t>
      </w:r>
    </w:p>
    <w:p>
      <w:pPr>
        <w:spacing w:lineRule="atLeast" w:line="480"/>
        <w:ind w:firstLine="480"/>
        <w:jc w:val="both"/>
      </w:pPr>
      <w:r>
        <w:rPr>
          <w:rFonts w:eastAsia="標楷體" w:ascii="Times New Roman" w:hAnsi="Times New Roman"/>
          <w:b w:val="0"/>
          <w:i w:val="0"/>
          <w:sz w:val="24"/>
        </w:rPr>
        <w:t>本章三種方法皆掛載於第三章所述之共同韌體骨架，替換的僅是最核心的估測模組，其餘量測路徑（INA226 校正後的電流／電壓）、時間基準（固定的系統節拍）、輸入輸出（每秒一次的狀態回報）完全一致，以確保比較之公平性。為使三法在同一座標上比較，先統一界定下列共同量與符號。</w:t>
      </w:r>
    </w:p>
    <w:p>
      <w:pPr>
        <w:spacing w:lineRule="atLeast" w:line="480"/>
        <w:ind w:firstLine="480"/>
        <w:jc w:val="both"/>
      </w:pPr>
      <w:r>
        <w:rPr>
          <w:rFonts w:eastAsia="標楷體" w:ascii="Times New Roman" w:hAnsi="Times New Roman"/>
          <w:b/>
          <w:i w:val="0"/>
          <w:sz w:val="24"/>
        </w:rPr>
        <w:t>取樣與時間基準</w:t>
      </w:r>
      <w:r>
        <w:rPr>
          <w:rFonts w:eastAsia="標楷體" w:ascii="Times New Roman" w:hAnsi="Times New Roman"/>
          <w:b w:val="0"/>
          <w:i w:val="0"/>
          <w:sz w:val="24"/>
        </w:rPr>
        <w:t>：微控制器端的 SOC 估測每秒更新一次（</w:t>
      </w:r>
      <w:r>
        <w:rPr>
          <w:rFonts w:eastAsia="標楷體" w:ascii="Times New Roman" w:hAnsi="Times New Roman"/>
          <w:b w:val="0"/>
          <w:i w:val="0"/>
          <w:sz w:val="24"/>
        </w:rPr>
        <w:t>Δ t = 1</w:t>
      </w:r>
      <w:r>
        <w:rPr>
          <w:rFonts w:eastAsia="標楷體" w:ascii="Times New Roman" w:hAnsi="Times New Roman"/>
          <w:b w:val="0"/>
          <w:i w:val="0"/>
          <w:sz w:val="24"/>
        </w:rPr>
        <w:t xml:space="preserve"> s），其資料來源為 INA226 經校正後之電流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（放電為正）與端電壓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,k</w:t>
      </w:r>
      <w:r>
        <w:rPr>
          <w:rFonts w:eastAsia="標楷體" w:ascii="Times New Roman" w:hAnsi="Times New Roman"/>
          <w:b w:val="0"/>
          <w:i w:val="0"/>
          <w:sz w:val="24"/>
        </w:rPr>
        <w:t xml:space="preserve">。儀錶端（IT6302／IT8512A+）真值以 0.4 s 取樣作為交叉驗證。電流量測經第三章校正後全範圍誤差 </w:t>
      </w:r>
      <w:r>
        <w:rPr>
          <w:rFonts w:eastAsia="標楷體" w:ascii="Times New Roman" w:hAnsi="Times New Roman"/>
          <w:b w:val="0"/>
          <w:i w:val="0"/>
          <w:sz w:val="24"/>
        </w:rPr>
        <w:t>&lt; 0.21</w:t>
      </w:r>
      <w:r>
        <w:rPr>
          <w:rFonts w:eastAsia="標楷體" w:ascii="Times New Roman" w:hAnsi="Times New Roman"/>
          <w:b w:val="0"/>
          <w:i w:val="0"/>
          <w:sz w:val="24"/>
        </w:rPr>
        <w:t xml:space="preserve"> mA（</w:t>
      </w:r>
      <w:r>
        <w:rPr>
          <w:rFonts w:eastAsia="標楷體" w:ascii="Times New Roman" w:hAnsi="Times New Roman"/>
          <w:b w:val="0"/>
          <w:i w:val="0"/>
          <w:sz w:val="24"/>
        </w:rPr>
        <w:t>&lt; 1‰</w:t>
      </w:r>
      <w:r>
        <w:rPr>
          <w:rFonts w:eastAsia="標楷體" w:ascii="Times New Roman" w:hAnsi="Times New Roman"/>
          <w:b w:val="0"/>
          <w:i w:val="0"/>
          <w:sz w:val="24"/>
        </w:rPr>
        <w:t>），此為三法共同的量測根基。</w:t>
      </w:r>
    </w:p>
    <w:p>
      <w:pPr>
        <w:spacing w:lineRule="atLeast" w:line="480"/>
        <w:ind w:firstLine="480"/>
        <w:jc w:val="both"/>
      </w:pPr>
      <w:r>
        <w:rPr>
          <w:rFonts w:eastAsia="標楷體" w:ascii="Times New Roman" w:hAnsi="Times New Roman"/>
          <w:b/>
          <w:i w:val="0"/>
          <w:sz w:val="24"/>
        </w:rPr>
        <w:t>SOC 真值（ground truth）之界定</w:t>
      </w:r>
      <w:r>
        <w:rPr>
          <w:rFonts w:eastAsia="標楷體" w:ascii="Times New Roman" w:hAnsi="Times New Roman"/>
          <w:b w:val="0"/>
          <w:i w:val="0"/>
          <w:sz w:val="24"/>
        </w:rPr>
        <w:t xml:space="preserve">：本章以庫倫計數作為其他方法的精度對照基準（4.1 節說明其作為真值之正當性）。為消除電流偏移之長期漂移對「真值」本身的污染，逐 cycle 的 SOC 真值定義為「以該 cycle 實測滿放電容量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正規化的庫倫積分」：</w:t>
      </w:r>
    </w:p>
    <w:p>
      <w:pPr>
        <w:spacing w:before="120" w:after="120" w:lineRule="atLeast" w:line="480"/>
        <w:jc w:val="center"/>
      </w:pPr>
      <w:r>
        <w:rPr>
          <w:rFonts w:eastAsia="標楷體" w:ascii="Cambria Math" w:hAnsi="Cambria Math"/>
          <w:sz w:val="24"/>
        </w:rPr>
        <w:t xml:space="preserve">SOC</w:t>
      </w:r>
      <w:r>
        <w:rPr>
          <w:rFonts w:eastAsia="標楷體" w:ascii="Cambria Math" w:hAnsi="Cambria Math"/>
          <w:sz w:val="24"/>
          <w:vertAlign w:val="subscript"/>
        </w:rPr>
        <w:t xml:space="preserve">truth</w:t>
      </w:r>
      <w:r>
        <w:rPr>
          <w:rFonts w:eastAsia="標楷體" w:ascii="Cambria Math" w:hAnsi="Cambria Math"/>
          <w:sz w:val="24"/>
        </w:rPr>
        <w:t xml:space="preserve">(t) = 1 -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dτ)/(q</w:t>
      </w:r>
      <w:r>
        <w:rPr>
          <w:rFonts w:eastAsia="標楷體" w:ascii="Cambria Math" w:hAnsi="Cambria Math"/>
          <w:sz w:val="24"/>
          <w:vertAlign w:val="subscript"/>
        </w:rPr>
        <w:t xml:space="preserve">full</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如此使每個放電 cycle 的起點錨定於 100%、截止點錨定於 0%，兩端皆有絕對錨點，中間以高精度電流積分線性內插，是短至中時間尺度內可信賴的 SOC 參考（其侷限見 4.1.4）。</w:t>
      </w:r>
    </w:p>
    <w:p>
      <w:pPr>
        <w:spacing w:lineRule="atLeast" w:line="480"/>
        <w:ind w:firstLine="480"/>
        <w:jc w:val="both"/>
      </w:pPr>
      <w:r>
        <w:rPr>
          <w:rFonts w:eastAsia="標楷體" w:ascii="Times New Roman" w:hAnsi="Times New Roman"/>
          <w:b/>
          <w:i w:val="0"/>
          <w:sz w:val="24"/>
        </w:rPr>
        <w:t>受測電池</w:t>
      </w:r>
      <w:r>
        <w:rPr>
          <w:rFonts w:eastAsia="標楷體" w:ascii="Times New Roman" w:hAnsi="Times New Roman"/>
          <w:b w:val="0"/>
          <w:i w:val="0"/>
          <w:sz w:val="24"/>
        </w:rPr>
        <w:t xml:space="preserve">：客製化 NMC 鋰離子電池，標稱容量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 2000</w:t>
      </w:r>
      <w:r>
        <w:rPr>
          <w:rFonts w:eastAsia="標楷體" w:ascii="Times New Roman" w:hAnsi="Times New Roman"/>
          <w:b w:val="0"/>
          <w:i w:val="0"/>
          <w:sz w:val="24"/>
        </w:rPr>
        <w:t xml:space="preserve"> mAh，</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 = 4.2</w:t>
      </w:r>
      <w:r>
        <w:rPr>
          <w:rFonts w:eastAsia="標楷體" w:ascii="Times New Roman" w:hAnsi="Times New Roman"/>
          <w:b w:val="0"/>
          <w:i w:val="0"/>
          <w:sz w:val="24"/>
        </w:rPr>
        <w:t xml:space="preserve"> V，</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 = 2.5</w:t>
      </w:r>
      <w:r>
        <w:rPr>
          <w:rFonts w:eastAsia="標楷體" w:ascii="Times New Roman" w:hAnsi="Times New Roman"/>
          <w:b w:val="0"/>
          <w:i w:val="0"/>
          <w:sz w:val="24"/>
        </w:rPr>
        <w:t xml:space="preserve"> V。本章所有實驗均於室溫進行，不做溫度補償（列為第六章 limitation）。</w:t>
      </w:r>
    </w:p>
    <w:p>
      <w:pPr>
        <w:spacing w:lineRule="atLeast" w:line="480"/>
        <w:ind w:firstLine="480"/>
        <w:jc w:val="both"/>
      </w:pPr>
      <w:r>
        <w:rPr>
          <w:rFonts w:eastAsia="標楷體" w:ascii="Times New Roman" w:hAnsi="Times New Roman"/>
          <w:b/>
          <w:i w:val="0"/>
          <w:sz w:val="24"/>
        </w:rPr>
        <w:t>比較指標</w:t>
      </w:r>
      <w:r>
        <w:rPr>
          <w:rFonts w:eastAsia="標楷體" w:ascii="Times New Roman" w:hAnsi="Times New Roman"/>
          <w:b w:val="0"/>
          <w:i w:val="0"/>
          <w:sz w:val="24"/>
        </w:rPr>
        <w:t>（4.4 節展開，此處先界定符號）：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1270"/>
        <w:gridCol w:w="6730"/>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1270"/>
            <w:shd w:val="clear" w:color="auto" w:fill="D9E2F3"/>
            <w:vAlign w:val="center"/>
          </w:tcPr>
          <w:p>
            <w:pPr>
              <w:spacing w:before="20" w:after="20" w:lineRule="atLeast" w:line="280"/>
              <w:jc w:val="center"/>
            </w:pPr>
            <w:r>
              <w:rPr>
                <w:rFonts w:eastAsia="標楷體" w:ascii="Times New Roman" w:hAnsi="Times New Roman"/>
                <w:b/>
                <w:i w:val="0"/>
                <w:sz w:val="21"/>
              </w:rPr>
              <w:t>指標</w:t>
            </w:r>
          </w:p>
        </w:tc>
        <w:tc>
          <w:tcPr>
            <w:tcW w:type="dxa" w:w="6730"/>
            <w:shd w:val="clear" w:color="auto" w:fill="D9E2F3"/>
            <w:vAlign w:val="center"/>
          </w:tcPr>
          <w:p>
            <w:pPr>
              <w:spacing w:before="20" w:after="20" w:lineRule="atLeast" w:line="280"/>
              <w:jc w:val="center"/>
            </w:pPr>
            <w:r>
              <w:rPr>
                <w:rFonts w:eastAsia="標楷體" w:ascii="Times New Roman" w:hAnsi="Times New Roman"/>
                <w:b/>
                <w:i w:val="0"/>
                <w:sz w:val="21"/>
              </w:rPr>
              <w:t>符號／定義</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均方根誤差</w:t>
            </w:r>
          </w:p>
        </w:tc>
        <w:tc>
          <w:tcPr>
            <w:tcW w:type="dxa" w:w="6730"/>
            <w:vAlign w:val="center"/>
          </w:tcPr>
          <w:p>
            <w:pPr>
              <w:spacing w:before="20" w:after="20" w:lineRule="atLeast" w:line="280"/>
              <w:jc w:val="left"/>
            </w:pPr>
            <w:r>
              <w:rPr>
                <w:rFonts w:eastAsia="標楷體" w:ascii="Times New Roman" w:hAnsi="Times New Roman"/>
                <w:b w:val="0"/>
                <w:i w:val="0"/>
                <w:sz w:val="21"/>
              </w:rPr>
              <w:t>RMSE = √((1)/(N)Σ_k (SOĈ_k - SOC_truth,k)²)</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平均絕對誤差</w:t>
            </w:r>
          </w:p>
        </w:tc>
        <w:tc>
          <w:tcPr>
            <w:tcW w:type="dxa" w:w="6730"/>
            <w:vAlign w:val="center"/>
          </w:tcPr>
          <w:p>
            <w:pPr>
              <w:spacing w:before="20" w:after="20" w:lineRule="atLeast" w:line="280"/>
              <w:jc w:val="left"/>
            </w:pPr>
            <w:r>
              <w:rPr>
                <w:rFonts w:eastAsia="標楷體" w:ascii="Times New Roman" w:hAnsi="Times New Roman"/>
                <w:b w:val="0"/>
                <w:i w:val="0"/>
                <w:sz w:val="21"/>
              </w:rPr>
              <w:t>MAE = (1)/(N)Σ_k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最大絕對誤差</w:t>
            </w:r>
          </w:p>
        </w:tc>
        <w:tc>
          <w:tcPr>
            <w:tcW w:type="dxa" w:w="6730"/>
            <w:vAlign w:val="center"/>
          </w:tcPr>
          <w:p>
            <w:pPr>
              <w:spacing w:before="20" w:after="20" w:lineRule="atLeast" w:line="280"/>
              <w:jc w:val="left"/>
            </w:pPr>
            <w:r>
              <w:rPr>
                <w:rFonts w:eastAsia="標楷體" w:ascii="Times New Roman" w:hAnsi="Times New Roman"/>
                <w:b w:val="0"/>
                <w:i w:val="0"/>
                <w:sz w:val="21"/>
              </w:rPr>
              <w:t>e_max = max_k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收斂時間</w:t>
            </w:r>
          </w:p>
        </w:tc>
        <w:tc>
          <w:tcPr>
            <w:tcW w:type="dxa" w:w="6730"/>
            <w:vAlign w:val="center"/>
          </w:tcPr>
          <w:p>
            <w:pPr>
              <w:spacing w:before="20" w:after="20" w:lineRule="atLeast" w:line="280"/>
              <w:jc w:val="left"/>
            </w:pPr>
            <w:r>
              <w:rPr>
                <w:rFonts w:eastAsia="標楷體" w:ascii="Times New Roman" w:hAnsi="Times New Roman"/>
                <w:b w:val="0"/>
                <w:i w:val="0"/>
                <w:sz w:val="21"/>
              </w:rPr>
              <w:t>t_conv</w:t>
            </w:r>
            <w:r>
              <w:rPr>
                <w:rFonts w:eastAsia="標楷體" w:ascii="Times New Roman" w:hAnsi="Times New Roman"/>
                <w:b w:val="0"/>
                <w:i w:val="0"/>
                <w:sz w:val="21"/>
              </w:rPr>
              <w:t xml:space="preserve">：自錯誤初值起，誤差首次且持續落入 </w:t>
            </w:r>
            <w:r>
              <w:rPr>
                <w:rFonts w:eastAsia="標楷體" w:ascii="Times New Roman" w:hAnsi="Times New Roman"/>
                <w:b w:val="0"/>
                <w:i w:val="0"/>
                <w:sz w:val="21"/>
              </w:rPr>
              <w:t>± 2%</w:t>
            </w:r>
            <w:r>
              <w:rPr>
                <w:rFonts w:eastAsia="標楷體" w:ascii="Times New Roman" w:hAnsi="Times New Roman"/>
                <w:b w:val="0"/>
                <w:i w:val="0"/>
                <w:sz w:val="21"/>
              </w:rPr>
              <w:t xml:space="preserve"> 帶之時間</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初值錯誤恢復</w:t>
            </w:r>
          </w:p>
        </w:tc>
        <w:tc>
          <w:tcPr>
            <w:tcW w:type="dxa" w:w="6730"/>
            <w:vAlign w:val="center"/>
          </w:tcPr>
          <w:p>
            <w:pPr>
              <w:spacing w:before="20" w:after="20" w:lineRule="atLeast" w:line="280"/>
              <w:jc w:val="left"/>
            </w:pPr>
            <w:r>
              <w:rPr>
                <w:rFonts w:eastAsia="標楷體" w:ascii="Times New Roman" w:hAnsi="Times New Roman"/>
                <w:b w:val="0"/>
                <w:i w:val="0"/>
                <w:sz w:val="21"/>
              </w:rPr>
              <w:t xml:space="preserve">初值偏移 </w:t>
            </w:r>
            <w:r>
              <w:rPr>
                <w:rFonts w:eastAsia="標楷體" w:ascii="Times New Roman" w:hAnsi="Times New Roman"/>
                <w:b w:val="0"/>
                <w:i w:val="0"/>
                <w:sz w:val="21"/>
              </w:rPr>
              <w:t>± 20%</w:t>
            </w:r>
            <w:r>
              <w:rPr>
                <w:rFonts w:eastAsia="標楷體" w:ascii="Times New Roman" w:hAnsi="Times New Roman"/>
                <w:b w:val="0"/>
                <w:i w:val="0"/>
                <w:sz w:val="21"/>
              </w:rPr>
              <w:t xml:space="preserve"> 後之 </w:t>
            </w:r>
            <w:r>
              <w:rPr>
                <w:rFonts w:eastAsia="標楷體" w:ascii="Times New Roman" w:hAnsi="Times New Roman"/>
                <w:b w:val="0"/>
                <w:i w:val="0"/>
                <w:sz w:val="21"/>
              </w:rPr>
              <w:t>t_conv</w:t>
            </w:r>
            <w:r>
              <w:rPr>
                <w:rFonts w:eastAsia="標楷體" w:ascii="Times New Roman" w:hAnsi="Times New Roman"/>
                <w:b w:val="0"/>
                <w:i w:val="0"/>
                <w:sz w:val="21"/>
              </w:rPr>
              <w:t xml:space="preserve"> 與穩態誤差</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C-rate 切換</w:t>
            </w:r>
          </w:p>
        </w:tc>
        <w:tc>
          <w:tcPr>
            <w:tcW w:type="dxa" w:w="6730"/>
            <w:vAlign w:val="center"/>
          </w:tcPr>
          <w:p>
            <w:pPr>
              <w:spacing w:before="20" w:after="20" w:lineRule="atLeast" w:line="280"/>
              <w:jc w:val="left"/>
            </w:pPr>
            <w:r>
              <w:rPr>
                <w:rFonts w:eastAsia="標楷體" w:ascii="Times New Roman" w:hAnsi="Times New Roman"/>
                <w:b w:val="0"/>
                <w:i w:val="0"/>
                <w:sz w:val="21"/>
              </w:rPr>
              <w:t>倍率階躍瞬間之誤差尖峰</w:t>
            </w:r>
          </w:p>
        </w:tc>
      </w:tr>
      <w:tr>
        <w:tc>
          <w:tcPr>
            <w:tcW w:type="dxa" w:w="600"/>
            <w:vAlign w:val="center"/>
          </w:tcPr>
          <w:p>
            <w:pPr>
              <w:spacing w:before="20" w:after="20" w:lineRule="atLeast" w:line="280"/>
              <w:jc w:val="left"/>
            </w:pPr>
            <w:r>
              <w:rPr>
                <w:rFonts w:eastAsia="標楷體" w:ascii="Times New Roman" w:hAnsi="Times New Roman"/>
                <w:b w:val="0"/>
                <w:i w:val="0"/>
                <w:sz w:val="21"/>
              </w:rPr>
              <w:t>嵌入式資源</w:t>
            </w:r>
          </w:p>
        </w:tc>
        <w:tc>
          <w:tcPr>
            <w:tcW w:type="dxa" w:w="1270"/>
            <w:vAlign w:val="center"/>
          </w:tcPr>
          <w:p>
            <w:pPr>
              <w:spacing w:before="20" w:after="20" w:lineRule="atLeast" w:line="280"/>
              <w:jc w:val="left"/>
            </w:pPr>
            <w:r>
              <w:rPr>
                <w:rFonts w:eastAsia="標楷體" w:ascii="Times New Roman" w:hAnsi="Times New Roman"/>
                <w:b w:val="0"/>
                <w:i w:val="0"/>
                <w:sz w:val="21"/>
              </w:rPr>
              <w:t>Flash／RAM／CPU</w:t>
            </w:r>
          </w:p>
        </w:tc>
        <w:tc>
          <w:tcPr>
            <w:tcW w:type="dxa" w:w="6730"/>
            <w:vAlign w:val="center"/>
          </w:tcPr>
          <w:p>
            <w:pPr>
              <w:spacing w:before="20" w:after="20" w:lineRule="atLeast" w:line="280"/>
              <w:jc w:val="left"/>
            </w:pPr>
            <w:r>
              <w:rPr>
                <w:rFonts w:eastAsia="標楷體" w:ascii="Times New Roman" w:hAnsi="Times New Roman"/>
                <w:b w:val="0"/>
                <w:i w:val="0"/>
                <w:sz w:val="21"/>
              </w:rPr>
              <w:t>模組淨增 Flash bytes、RAM bytes、每次更新 CPU cycles</w:t>
            </w:r>
          </w:p>
        </w:tc>
      </w:tr>
      <w:tr>
        <w:tc>
          <w:tcPr>
            <w:tcW w:type="dxa" w:w="600"/>
            <w:vAlign w:val="center"/>
          </w:tcPr>
          <w:p>
            <w:pPr>
              <w:spacing w:before="20" w:after="20" w:lineRule="atLeast" w:line="280"/>
              <w:jc w:val="left"/>
            </w:pPr>
            <w:r>
              <w:rPr>
                <w:rFonts w:eastAsia="標楷體" w:ascii="Times New Roman" w:hAnsi="Times New Roman"/>
                <w:b w:val="0"/>
                <w:i w:val="0"/>
                <w:sz w:val="21"/>
              </w:rPr>
              <w:t>工程性</w:t>
            </w:r>
          </w:p>
        </w:tc>
        <w:tc>
          <w:tcPr>
            <w:tcW w:type="dxa" w:w="1270"/>
            <w:vAlign w:val="center"/>
          </w:tcPr>
          <w:p>
            <w:pPr>
              <w:spacing w:before="20" w:after="20" w:lineRule="atLeast" w:line="280"/>
              <w:jc w:val="left"/>
            </w:pPr>
            <w:r>
              <w:rPr>
                <w:rFonts w:eastAsia="標楷體" w:ascii="Times New Roman" w:hAnsi="Times New Roman"/>
                <w:b w:val="0"/>
                <w:i w:val="0"/>
                <w:sz w:val="21"/>
              </w:rPr>
              <w:t>校正需求／LoC</w:t>
            </w:r>
          </w:p>
        </w:tc>
        <w:tc>
          <w:tcPr>
            <w:tcW w:type="dxa" w:w="6730"/>
            <w:vAlign w:val="center"/>
          </w:tcPr>
          <w:p>
            <w:pPr>
              <w:spacing w:before="20" w:after="20" w:lineRule="atLeast" w:line="280"/>
              <w:jc w:val="left"/>
            </w:pPr>
            <w:r>
              <w:rPr>
                <w:rFonts w:eastAsia="標楷體" w:ascii="Times New Roman" w:hAnsi="Times New Roman"/>
                <w:b w:val="0"/>
                <w:i w:val="0"/>
                <w:sz w:val="21"/>
              </w:rPr>
              <w:t>所需離線校正資料、實作行數</w:t>
            </w:r>
          </w:p>
        </w:tc>
      </w:tr>
    </w:tbl>
    <w:p>
      <w:pPr>
        <w:spacing w:before="240" w:after="120" w:lineRule="atLeast" w:line="360"/>
        <w:jc w:val="left"/>
      </w:pPr>
      <w:r>
        <w:rPr>
          <w:rFonts w:eastAsia="標楷體" w:ascii="Times New Roman" w:hAnsi="Times New Roman"/>
          <w:b/>
          <w:i w:val="0"/>
          <w:sz w:val="28"/>
        </w:rPr>
        <w:t>4.1 庫倫計數法（兼基準真值）</w:t>
      </w:r>
    </w:p>
    <w:p>
      <w:pPr>
        <w:spacing w:before="160" w:after="80" w:lineRule="atLeast" w:line="360"/>
        <w:jc w:val="left"/>
      </w:pPr>
      <w:r>
        <w:rPr>
          <w:rFonts w:eastAsia="標楷體" w:ascii="Times New Roman" w:hAnsi="Times New Roman"/>
          <w:b/>
          <w:i w:val="0"/>
          <w:sz w:val="26"/>
        </w:rPr>
        <w:t>4.1.1 原理</w:t>
      </w:r>
    </w:p>
    <w:p>
      <w:pPr>
        <w:spacing w:lineRule="atLeast" w:line="480"/>
        <w:ind w:firstLine="480"/>
        <w:jc w:val="both"/>
      </w:pPr>
      <w:r>
        <w:rPr>
          <w:rFonts w:eastAsia="標楷體" w:ascii="Times New Roman" w:hAnsi="Times New Roman"/>
          <w:b w:val="0"/>
          <w:i w:val="0"/>
          <w:sz w:val="24"/>
        </w:rPr>
        <w:t>庫倫計數法（安時積分法）對流經電池的電流積分以累計電量變化，由初始 SOC 遞推當前 SOC（符號與第二章 2.2.1 節一致，放電電流為正）：</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為電流（放電為正）。在本研究單一 NMC 電池、室溫條件下，充放電效率接近理想，積分式不另作效率折減，其長期影響併入漂移討論（4.1.4）。</w:t>
      </w:r>
    </w:p>
    <w:p>
      <w:pPr>
        <w:spacing w:lineRule="atLeast" w:line="480"/>
        <w:ind w:firstLine="480"/>
        <w:jc w:val="both"/>
      </w:pPr>
      <w:r>
        <w:rPr>
          <w:rFonts w:eastAsia="標楷體" w:ascii="Times New Roman" w:hAnsi="Times New Roman"/>
          <w:b w:val="0"/>
          <w:i w:val="0"/>
          <w:sz w:val="24"/>
        </w:rPr>
        <w:t>庫倫計數之所以同時擔任本章三法比較的</w:t>
      </w:r>
      <w:r>
        <w:rPr>
          <w:rFonts w:eastAsia="標楷體" w:ascii="Times New Roman" w:hAnsi="Times New Roman"/>
          <w:b/>
          <w:i w:val="0"/>
          <w:sz w:val="24"/>
        </w:rPr>
        <w:t>基準真值</w:t>
      </w:r>
      <w:r>
        <w:rPr>
          <w:rFonts w:eastAsia="標楷體" w:ascii="Times New Roman" w:hAnsi="Times New Roman"/>
          <w:b w:val="0"/>
          <w:i w:val="0"/>
          <w:sz w:val="24"/>
        </w:rPr>
        <w:t xml:space="preserve">，理由有三：(1) 其估測完全由電流積分決定，不依賴電池模型參數，無模型失配風險；(2) 第三章已將 INA226 電流校正至 </w:t>
      </w:r>
      <w:r>
        <w:rPr>
          <w:rFonts w:eastAsia="標楷體" w:ascii="Times New Roman" w:hAnsi="Times New Roman"/>
          <w:b w:val="0"/>
          <w:i w:val="0"/>
          <w:sz w:val="24"/>
        </w:rPr>
        <w:t>&lt; 1‰</w:t>
      </w:r>
      <w:r>
        <w:rPr>
          <w:rFonts w:eastAsia="標楷體" w:ascii="Times New Roman" w:hAnsi="Times New Roman"/>
          <w:b w:val="0"/>
          <w:i w:val="0"/>
          <w:sz w:val="24"/>
        </w:rPr>
        <w:t>，使積分核心可信；(3) 如 4.0 節所述，逐 cycle 以實測滿放容量正規化後，放電起訖兩端皆有絕對錨點，中段由高精度積分內插，短中時間尺度的相對 SOC 軌跡可信賴。需強調此「真值」僅在</w:t>
      </w:r>
      <w:r>
        <w:rPr>
          <w:rFonts w:eastAsia="標楷體" w:ascii="Times New Roman" w:hAnsi="Times New Roman"/>
          <w:b/>
          <w:i w:val="0"/>
          <w:sz w:val="24"/>
        </w:rPr>
        <w:t>單一 cycle 內</w:t>
      </w:r>
      <w:r>
        <w:rPr>
          <w:rFonts w:eastAsia="標楷體" w:ascii="Times New Roman" w:hAnsi="Times New Roman"/>
          <w:b w:val="0"/>
          <w:i w:val="0"/>
          <w:sz w:val="24"/>
        </w:rPr>
        <w:t>成立——跨 cycle 的長期漂移正是庫倫計數的根本弱點（4.1.4），故 4.2／4.3 之精度比較均在逐 cycle 重新錨定的框架下進行。</w:t>
      </w:r>
    </w:p>
    <w:p>
      <w:pPr>
        <w:spacing w:before="160" w:after="80" w:lineRule="atLeast" w:line="360"/>
        <w:jc w:val="left"/>
      </w:pPr>
      <w:r>
        <w:rPr>
          <w:rFonts w:eastAsia="標楷體" w:ascii="Times New Roman" w:hAnsi="Times New Roman"/>
          <w:b/>
          <w:i w:val="0"/>
          <w:sz w:val="26"/>
        </w:rPr>
        <w:t>4.1.2 演算法</w:t>
      </w:r>
    </w:p>
    <w:p>
      <w:pPr>
        <w:spacing w:lineRule="atLeast" w:line="480"/>
        <w:ind w:firstLine="480"/>
        <w:jc w:val="both"/>
      </w:pPr>
      <w:r>
        <w:rPr>
          <w:rFonts w:eastAsia="標楷體" w:ascii="Times New Roman" w:hAnsi="Times New Roman"/>
          <w:b w:val="0"/>
          <w:i w:val="0"/>
          <w:sz w:val="24"/>
        </w:rPr>
        <w:t xml:space="preserve">離散化後，每個取樣週期 </w:t>
      </w:r>
      <w:r>
        <w:rPr>
          <w:rFonts w:eastAsia="標楷體" w:ascii="Times New Roman" w:hAnsi="Times New Roman"/>
          <w:b w:val="0"/>
          <w:i w:val="0"/>
          <w:sz w:val="24"/>
        </w:rPr>
        <w:t>Δ t</w:t>
      </w:r>
      <w:r>
        <w:rPr>
          <w:rFonts w:eastAsia="標楷體" w:ascii="Times New Roman" w:hAnsi="Times New Roman"/>
          <w:b w:val="0"/>
          <w:i w:val="0"/>
          <w:sz w:val="24"/>
        </w:rPr>
        <w:t xml:space="preserve"> 更新一次積分器。為與第三章「放電擾動期間庫倫不可漏計」之紀律一致，積分涵蓋包含 dV/dI 擾動 dwell 在內的每一秒。其更新流程如圖 4-1 所示：每秒讀取一次校正後電流，乘以 </w:t>
      </w:r>
      <w:r>
        <w:rPr>
          <w:rFonts w:eastAsia="標楷體" w:ascii="Times New Roman" w:hAnsi="Times New Roman"/>
          <w:b w:val="0"/>
          <w:i w:val="0"/>
          <w:sz w:val="24"/>
        </w:rPr>
        <w:t>Δ t</w:t>
      </w:r>
      <w:r>
        <w:rPr>
          <w:rFonts w:eastAsia="標楷體" w:ascii="Times New Roman" w:hAnsi="Times New Roman"/>
          <w:b w:val="0"/>
          <w:i w:val="0"/>
          <w:sz w:val="24"/>
        </w:rPr>
        <w:t xml:space="preserve"> 得本週期電荷增量，累加至「已流出電荷」後，再以額定容量正規化並夾限得 SOC。</w:t>
      </w:r>
    </w:p>
    <w:p>
      <w:pPr>
        <w:spacing w:before="120" w:after="40"/>
        <w:jc w:val="center"/>
      </w:pPr>
      <w:r>
        <w:drawing>
          <wp:inline xmlns:a="http://schemas.openxmlformats.org/drawingml/2006/main" xmlns:pic="http://schemas.openxmlformats.org/drawingml/2006/picture">
            <wp:extent cx="4860000" cy="5900134"/>
            <wp:docPr id="3" name="Picture 3"/>
            <wp:cNvGraphicFramePr>
              <a:graphicFrameLocks noChangeAspect="1"/>
            </wp:cNvGraphicFramePr>
            <a:graphic>
              <a:graphicData uri="http://schemas.openxmlformats.org/drawingml/2006/picture">
                <pic:pic>
                  <pic:nvPicPr>
                    <pic:cNvPr id="0" name="fig4-1.png"/>
                    <pic:cNvPicPr/>
                  </pic:nvPicPr>
                  <pic:blipFill>
                    <a:blip r:embed="rId14"/>
                    <a:stretch>
                      <a:fillRect/>
                    </a:stretch>
                  </pic:blipFill>
                  <pic:spPr>
                    <a:xfrm>
                      <a:off x="0" y="0"/>
                      <a:ext cx="4860000" cy="5900134"/>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4-1</w:t>
      </w:r>
      <w:r>
        <w:rPr>
          <w:rFonts w:eastAsia="標楷體" w:ascii="Times New Roman" w:hAnsi="Times New Roman"/>
          <w:b w:val="0"/>
          <w:i w:val="0"/>
          <w:sz w:val="22"/>
        </w:rPr>
        <w:t xml:space="preserve">　庫倫計數法之 SOC 更新流程（每秒執行一次）</w:t>
      </w:r>
    </w:p>
    <w:p>
      <w:pPr>
        <w:spacing w:before="160" w:after="80" w:lineRule="atLeast" w:line="360"/>
        <w:jc w:val="left"/>
      </w:pPr>
      <w:r>
        <w:rPr>
          <w:rFonts w:eastAsia="標楷體" w:ascii="Times New Roman" w:hAnsi="Times New Roman"/>
          <w:b/>
          <w:i w:val="0"/>
          <w:sz w:val="26"/>
        </w:rPr>
        <w:t>4.1.3 嵌入式實作</w:t>
      </w:r>
    </w:p>
    <w:p>
      <w:pPr>
        <w:spacing w:lineRule="atLeast" w:line="480"/>
        <w:ind w:firstLine="480"/>
        <w:jc w:val="both"/>
      </w:pPr>
      <w:r>
        <w:rPr>
          <w:rFonts w:eastAsia="標楷體" w:ascii="Times New Roman" w:hAnsi="Times New Roman"/>
          <w:b w:val="0"/>
          <w:i w:val="0"/>
          <w:sz w:val="24"/>
        </w:rPr>
        <w:t>庫倫計數在微控制器上的實作是三種方法中最輕量的：每秒只做一次乘法與一次加法，把當下電流換算成這一秒用掉的電量並累加，需要時再換算成 SOC。它不需要查表、不需要矩陣運算，因此佔用的程式空間、記憶體與運算量都最少，構成後續 4.4 節資源比較的下限基準。實作時以足夠的精度累計電量，避免長時間累加造成的誤差，並把輸出的 SOC 限制在 0～100% 的合理範圍。</w:t>
      </w:r>
    </w:p>
    <w:p>
      <w:pPr>
        <w:spacing w:before="160" w:after="80" w:lineRule="atLeast" w:line="360"/>
        <w:jc w:val="left"/>
      </w:pPr>
      <w:r>
        <w:rPr>
          <w:rFonts w:eastAsia="標楷體" w:ascii="Times New Roman" w:hAnsi="Times New Roman"/>
          <w:b/>
          <w:i w:val="0"/>
          <w:sz w:val="26"/>
        </w:rPr>
        <w:t>4.1.4 實驗結果（rate-capability 與 ground-truth 有效性，實測）</w:t>
      </w:r>
    </w:p>
    <w:p>
      <w:pPr>
        <w:spacing w:lineRule="atLeast" w:line="480"/>
        <w:ind w:firstLine="480"/>
        <w:jc w:val="both"/>
      </w:pPr>
      <w:r>
        <w:rPr>
          <w:rFonts w:eastAsia="標楷體" w:ascii="Times New Roman" w:hAnsi="Times New Roman"/>
          <w:b w:val="0"/>
          <w:i w:val="0"/>
          <w:sz w:val="24"/>
        </w:rPr>
        <w:t>庫倫計數的實驗結果同時驗證兩件事：其一為電流積分核心於本平台之自洽性（容量再現性），其二為其作為真值的有效範圍與漂移侷限。資料取自第三章跨輪測試協定累積之週期紀錄（rounds 1–23，cycles 1–90，連續 2026-05-12 至 06-03）。</w:t>
      </w:r>
    </w:p>
    <w:p>
      <w:pPr>
        <w:spacing w:lineRule="atLeast" w:line="480"/>
        <w:ind w:firstLine="480"/>
        <w:jc w:val="both"/>
      </w:pPr>
      <w:r>
        <w:rPr>
          <w:rFonts w:eastAsia="標楷體" w:ascii="Times New Roman" w:hAnsi="Times New Roman"/>
          <w:b/>
          <w:i w:val="0"/>
          <w:sz w:val="24"/>
        </w:rPr>
        <w:t>fresh-cell 容量再現性與 rate capability（實測）</w:t>
      </w:r>
      <w:r>
        <w:rPr>
          <w:rFonts w:eastAsia="標楷體" w:ascii="Times New Roman" w:hAnsi="Times New Roman"/>
          <w:b w:val="0"/>
          <w:i w:val="0"/>
          <w:sz w:val="24"/>
        </w:rPr>
        <w:t>：以前三輪 fresh-cell baseline 各四種放電倍率之實測安時量（庫倫積分至截止），整理如表 4-1。</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88"/>
        <w:gridCol w:w="2236"/>
        <w:gridCol w:w="2236"/>
        <w:gridCol w:w="2236"/>
        <w:gridCol w:w="1204"/>
      </w:tblGrid>
      <w:tr>
        <w:tc>
          <w:tcPr>
            <w:tcW w:type="dxa" w:w="688"/>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1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2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3 (mAh)</w:t>
            </w:r>
          </w:p>
        </w:tc>
        <w:tc>
          <w:tcPr>
            <w:tcW w:type="dxa" w:w="1204"/>
            <w:shd w:val="clear" w:color="auto" w:fill="D9E2F3"/>
            <w:vAlign w:val="center"/>
          </w:tcPr>
          <w:p>
            <w:pPr>
              <w:spacing w:before="20" w:after="20" w:lineRule="atLeast" w:line="280"/>
              <w:jc w:val="center"/>
            </w:pPr>
            <w:r>
              <w:rPr>
                <w:rFonts w:eastAsia="標楷體" w:ascii="Times New Roman" w:hAnsi="Times New Roman"/>
                <w:b/>
                <w:i w:val="0"/>
                <w:sz w:val="21"/>
              </w:rPr>
              <w:t>平均保持率</w:t>
            </w:r>
          </w:p>
        </w:tc>
      </w:tr>
      <w:tr>
        <w:tc>
          <w:tcPr>
            <w:tcW w:type="dxa" w:w="688"/>
            <w:vAlign w:val="center"/>
          </w:tcPr>
          <w:p>
            <w:pPr>
              <w:spacing w:before="20" w:after="20" w:lineRule="atLeast" w:line="280"/>
              <w:jc w:val="right"/>
            </w:pPr>
            <w:r>
              <w:rPr>
                <w:rFonts w:eastAsia="標楷體" w:ascii="Times New Roman" w:hAnsi="Times New Roman"/>
                <w:b w:val="0"/>
                <w:i w:val="0"/>
                <w:sz w:val="21"/>
              </w:rPr>
              <w:t>0.5C</w:t>
            </w:r>
          </w:p>
        </w:tc>
        <w:tc>
          <w:tcPr>
            <w:tcW w:type="dxa" w:w="2236"/>
            <w:vAlign w:val="center"/>
          </w:tcPr>
          <w:p>
            <w:pPr>
              <w:spacing w:before="20" w:after="20" w:lineRule="atLeast" w:line="280"/>
              <w:jc w:val="right"/>
            </w:pPr>
            <w:r>
              <w:rPr>
                <w:rFonts w:eastAsia="標楷體" w:ascii="Times New Roman" w:hAnsi="Times New Roman"/>
                <w:b w:val="0"/>
                <w:i w:val="0"/>
                <w:sz w:val="21"/>
              </w:rPr>
              <w:t>1677.6</w:t>
            </w:r>
          </w:p>
        </w:tc>
        <w:tc>
          <w:tcPr>
            <w:tcW w:type="dxa" w:w="2236"/>
            <w:vAlign w:val="center"/>
          </w:tcPr>
          <w:p>
            <w:pPr>
              <w:spacing w:before="20" w:after="20" w:lineRule="atLeast" w:line="280"/>
              <w:jc w:val="right"/>
            </w:pPr>
            <w:r>
              <w:rPr>
                <w:rFonts w:eastAsia="標楷體" w:ascii="Times New Roman" w:hAnsi="Times New Roman"/>
                <w:b w:val="0"/>
                <w:i w:val="0"/>
                <w:sz w:val="21"/>
              </w:rPr>
              <w:t>1661.9</w:t>
            </w:r>
          </w:p>
        </w:tc>
        <w:tc>
          <w:tcPr>
            <w:tcW w:type="dxa" w:w="2236"/>
            <w:vAlign w:val="center"/>
          </w:tcPr>
          <w:p>
            <w:pPr>
              <w:spacing w:before="20" w:after="20" w:lineRule="atLeast" w:line="280"/>
              <w:jc w:val="right"/>
            </w:pPr>
            <w:r>
              <w:rPr>
                <w:rFonts w:eastAsia="標楷體" w:ascii="Times New Roman" w:hAnsi="Times New Roman"/>
                <w:b w:val="0"/>
                <w:i w:val="0"/>
                <w:sz w:val="21"/>
              </w:rPr>
              <w:t>1657.5</w:t>
            </w:r>
          </w:p>
        </w:tc>
        <w:tc>
          <w:tcPr>
            <w:tcW w:type="dxa" w:w="1204"/>
            <w:vAlign w:val="center"/>
          </w:tcPr>
          <w:p>
            <w:pPr>
              <w:spacing w:before="20" w:after="20" w:lineRule="atLeast" w:line="280"/>
              <w:jc w:val="right"/>
            </w:pPr>
            <w:r>
              <w:rPr>
                <w:rFonts w:eastAsia="標楷體" w:ascii="Times New Roman" w:hAnsi="Times New Roman"/>
                <w:b w:val="0"/>
                <w:i w:val="0"/>
                <w:sz w:val="21"/>
              </w:rPr>
              <w:t>~100.0%</w:t>
            </w:r>
          </w:p>
        </w:tc>
      </w:tr>
      <w:tr>
        <w:tc>
          <w:tcPr>
            <w:tcW w:type="dxa" w:w="688"/>
            <w:vAlign w:val="center"/>
          </w:tcPr>
          <w:p>
            <w:pPr>
              <w:spacing w:before="20" w:after="20" w:lineRule="atLeast" w:line="280"/>
              <w:jc w:val="right"/>
            </w:pPr>
            <w:r>
              <w:rPr>
                <w:rFonts w:eastAsia="標楷體" w:ascii="Times New Roman" w:hAnsi="Times New Roman"/>
                <w:b w:val="0"/>
                <w:i w:val="0"/>
                <w:sz w:val="21"/>
              </w:rPr>
              <w:t>1.0C</w:t>
            </w:r>
          </w:p>
        </w:tc>
        <w:tc>
          <w:tcPr>
            <w:tcW w:type="dxa" w:w="2236"/>
            <w:vAlign w:val="center"/>
          </w:tcPr>
          <w:p>
            <w:pPr>
              <w:spacing w:before="20" w:after="20" w:lineRule="atLeast" w:line="280"/>
              <w:jc w:val="right"/>
            </w:pPr>
            <w:r>
              <w:rPr>
                <w:rFonts w:eastAsia="標楷體" w:ascii="Times New Roman" w:hAnsi="Times New Roman"/>
                <w:b w:val="0"/>
                <w:i w:val="0"/>
                <w:sz w:val="21"/>
              </w:rPr>
              <w:t>1651.8</w:t>
            </w:r>
          </w:p>
        </w:tc>
        <w:tc>
          <w:tcPr>
            <w:tcW w:type="dxa" w:w="2236"/>
            <w:vAlign w:val="center"/>
          </w:tcPr>
          <w:p>
            <w:pPr>
              <w:spacing w:before="20" w:after="20" w:lineRule="atLeast" w:line="280"/>
              <w:jc w:val="right"/>
            </w:pPr>
            <w:r>
              <w:rPr>
                <w:rFonts w:eastAsia="標楷體" w:ascii="Times New Roman" w:hAnsi="Times New Roman"/>
                <w:b w:val="0"/>
                <w:i w:val="0"/>
                <w:sz w:val="21"/>
              </w:rPr>
              <w:t>1660.0</w:t>
            </w:r>
          </w:p>
        </w:tc>
        <w:tc>
          <w:tcPr>
            <w:tcW w:type="dxa" w:w="2236"/>
            <w:vAlign w:val="center"/>
          </w:tcPr>
          <w:p>
            <w:pPr>
              <w:spacing w:before="20" w:after="20" w:lineRule="atLeast" w:line="280"/>
              <w:jc w:val="right"/>
            </w:pPr>
            <w:r>
              <w:rPr>
                <w:rFonts w:eastAsia="標楷體" w:ascii="Times New Roman" w:hAnsi="Times New Roman"/>
                <w:b w:val="0"/>
                <w:i w:val="0"/>
                <w:sz w:val="21"/>
              </w:rPr>
              <w:t>1658.7</w:t>
            </w:r>
          </w:p>
        </w:tc>
        <w:tc>
          <w:tcPr>
            <w:tcW w:type="dxa" w:w="1204"/>
            <w:vAlign w:val="center"/>
          </w:tcPr>
          <w:p>
            <w:pPr>
              <w:spacing w:before="20" w:after="20" w:lineRule="atLeast" w:line="280"/>
              <w:jc w:val="right"/>
            </w:pPr>
            <w:r>
              <w:rPr>
                <w:rFonts w:eastAsia="標楷體" w:ascii="Times New Roman" w:hAnsi="Times New Roman"/>
                <w:b w:val="0"/>
                <w:i w:val="0"/>
                <w:sz w:val="21"/>
              </w:rPr>
              <w:t>~99.5%</w:t>
            </w:r>
          </w:p>
        </w:tc>
      </w:tr>
      <w:tr>
        <w:tc>
          <w:tcPr>
            <w:tcW w:type="dxa" w:w="688"/>
            <w:vAlign w:val="center"/>
          </w:tcPr>
          <w:p>
            <w:pPr>
              <w:spacing w:before="20" w:after="20" w:lineRule="atLeast" w:line="280"/>
              <w:jc w:val="right"/>
            </w:pPr>
            <w:r>
              <w:rPr>
                <w:rFonts w:eastAsia="標楷體" w:ascii="Times New Roman" w:hAnsi="Times New Roman"/>
                <w:b w:val="0"/>
                <w:i w:val="0"/>
                <w:sz w:val="21"/>
              </w:rPr>
              <w:t>1.5C</w:t>
            </w:r>
          </w:p>
        </w:tc>
        <w:tc>
          <w:tcPr>
            <w:tcW w:type="dxa" w:w="2236"/>
            <w:vAlign w:val="center"/>
          </w:tcPr>
          <w:p>
            <w:pPr>
              <w:spacing w:before="20" w:after="20" w:lineRule="atLeast" w:line="280"/>
              <w:jc w:val="right"/>
            </w:pPr>
            <w:r>
              <w:rPr>
                <w:rFonts w:eastAsia="標楷體" w:ascii="Times New Roman" w:hAnsi="Times New Roman"/>
                <w:b w:val="0"/>
                <w:i w:val="0"/>
                <w:sz w:val="21"/>
              </w:rPr>
              <w:t>1646.7</w:t>
            </w:r>
          </w:p>
        </w:tc>
        <w:tc>
          <w:tcPr>
            <w:tcW w:type="dxa" w:w="2236"/>
            <w:vAlign w:val="center"/>
          </w:tcPr>
          <w:p>
            <w:pPr>
              <w:spacing w:before="20" w:after="20" w:lineRule="atLeast" w:line="280"/>
              <w:jc w:val="right"/>
            </w:pPr>
            <w:r>
              <w:rPr>
                <w:rFonts w:eastAsia="標楷體" w:ascii="Times New Roman" w:hAnsi="Times New Roman"/>
                <w:b w:val="0"/>
                <w:i w:val="0"/>
                <w:sz w:val="21"/>
              </w:rPr>
              <w:t>1657.4</w:t>
            </w:r>
          </w:p>
        </w:tc>
        <w:tc>
          <w:tcPr>
            <w:tcW w:type="dxa" w:w="2236"/>
            <w:vAlign w:val="center"/>
          </w:tcPr>
          <w:p>
            <w:pPr>
              <w:spacing w:before="20" w:after="20" w:lineRule="atLeast" w:line="280"/>
              <w:jc w:val="right"/>
            </w:pPr>
            <w:r>
              <w:rPr>
                <w:rFonts w:eastAsia="標楷體" w:ascii="Times New Roman" w:hAnsi="Times New Roman"/>
                <w:b w:val="0"/>
                <w:i w:val="0"/>
                <w:sz w:val="21"/>
              </w:rPr>
              <w:t>1655.7</w:t>
            </w:r>
          </w:p>
        </w:tc>
        <w:tc>
          <w:tcPr>
            <w:tcW w:type="dxa" w:w="1204"/>
            <w:vAlign w:val="center"/>
          </w:tcPr>
          <w:p>
            <w:pPr>
              <w:spacing w:before="20" w:after="20" w:lineRule="atLeast" w:line="280"/>
              <w:jc w:val="right"/>
            </w:pPr>
            <w:r>
              <w:rPr>
                <w:rFonts w:eastAsia="標楷體" w:ascii="Times New Roman" w:hAnsi="Times New Roman"/>
                <w:b w:val="0"/>
                <w:i w:val="0"/>
                <w:sz w:val="21"/>
              </w:rPr>
              <w:t>~99.3%</w:t>
            </w:r>
          </w:p>
        </w:tc>
      </w:tr>
      <w:tr>
        <w:tc>
          <w:tcPr>
            <w:tcW w:type="dxa" w:w="688"/>
            <w:vAlign w:val="center"/>
          </w:tcPr>
          <w:p>
            <w:pPr>
              <w:spacing w:before="20" w:after="20" w:lineRule="atLeast" w:line="280"/>
              <w:jc w:val="right"/>
            </w:pPr>
            <w:r>
              <w:rPr>
                <w:rFonts w:eastAsia="標楷體" w:ascii="Times New Roman" w:hAnsi="Times New Roman"/>
                <w:b w:val="0"/>
                <w:i w:val="0"/>
                <w:sz w:val="21"/>
              </w:rPr>
              <w:t>2.0C</w:t>
            </w:r>
          </w:p>
        </w:tc>
        <w:tc>
          <w:tcPr>
            <w:tcW w:type="dxa" w:w="2236"/>
            <w:vAlign w:val="center"/>
          </w:tcPr>
          <w:p>
            <w:pPr>
              <w:spacing w:before="20" w:after="20" w:lineRule="atLeast" w:line="280"/>
              <w:jc w:val="right"/>
            </w:pPr>
            <w:r>
              <w:rPr>
                <w:rFonts w:eastAsia="標楷體" w:ascii="Times New Roman" w:hAnsi="Times New Roman"/>
                <w:b w:val="0"/>
                <w:i w:val="0"/>
                <w:sz w:val="21"/>
              </w:rPr>
              <w:t>1644.9</w:t>
            </w:r>
          </w:p>
        </w:tc>
        <w:tc>
          <w:tcPr>
            <w:tcW w:type="dxa" w:w="2236"/>
            <w:vAlign w:val="center"/>
          </w:tcPr>
          <w:p>
            <w:pPr>
              <w:spacing w:before="20" w:after="20" w:lineRule="atLeast" w:line="280"/>
              <w:jc w:val="right"/>
            </w:pPr>
            <w:r>
              <w:rPr>
                <w:rFonts w:eastAsia="標楷體" w:ascii="Times New Roman" w:hAnsi="Times New Roman"/>
                <w:b w:val="0"/>
                <w:i w:val="0"/>
                <w:sz w:val="21"/>
              </w:rPr>
              <w:t>1652.1</w:t>
            </w:r>
          </w:p>
        </w:tc>
        <w:tc>
          <w:tcPr>
            <w:tcW w:type="dxa" w:w="2236"/>
            <w:vAlign w:val="center"/>
          </w:tcPr>
          <w:p>
            <w:pPr>
              <w:spacing w:before="20" w:after="20" w:lineRule="atLeast" w:line="280"/>
              <w:jc w:val="right"/>
            </w:pPr>
            <w:r>
              <w:rPr>
                <w:rFonts w:eastAsia="標楷體" w:ascii="Times New Roman" w:hAnsi="Times New Roman"/>
                <w:b w:val="0"/>
                <w:i w:val="0"/>
                <w:sz w:val="21"/>
              </w:rPr>
              <w:t>1647.4</w:t>
            </w:r>
          </w:p>
        </w:tc>
        <w:tc>
          <w:tcPr>
            <w:tcW w:type="dxa" w:w="1204"/>
            <w:vAlign w:val="center"/>
          </w:tcPr>
          <w:p>
            <w:pPr>
              <w:spacing w:before="20" w:after="20" w:lineRule="atLeast" w:line="280"/>
              <w:jc w:val="right"/>
            </w:pPr>
            <w:r>
              <w:rPr>
                <w:rFonts w:eastAsia="標楷體" w:ascii="Times New Roman" w:hAnsi="Times New Roman"/>
                <w:b w:val="0"/>
                <w:i w:val="0"/>
                <w:sz w:val="21"/>
              </w:rPr>
              <w:t>~98.9%</w:t>
            </w:r>
          </w:p>
        </w:tc>
      </w:tr>
    </w:tbl>
    <w:p>
      <w:pPr>
        <w:spacing w:before="60" w:after="160" w:lineRule="atLeast" w:line="320"/>
        <w:jc w:val="center"/>
      </w:pPr>
      <w:r>
        <w:rPr>
          <w:rFonts w:eastAsia="標楷體" w:ascii="Times New Roman" w:hAnsi="Times New Roman"/>
          <w:b/>
          <w:i w:val="0"/>
          <w:sz w:val="22"/>
        </w:rPr>
        <w:t>表 4-1</w:t>
      </w:r>
      <w:r>
        <w:rPr>
          <w:rFonts w:eastAsia="標楷體" w:ascii="Times New Roman" w:hAnsi="Times New Roman"/>
          <w:b w:val="0"/>
          <w:i w:val="0"/>
          <w:sz w:val="22"/>
        </w:rPr>
        <w:t xml:space="preserve">　fresh-cell 三輪各倍率實測放電容量（庫倫積分，數據源為跨輪週期紀錄 cycles 1–13）</w:t>
      </w:r>
    </w:p>
    <w:p>
      <w:pPr>
        <w:spacing w:lineRule="atLeast" w:line="480"/>
        <w:ind w:firstLine="480"/>
        <w:jc w:val="both"/>
      </w:pPr>
      <w:r>
        <w:rPr>
          <w:rFonts w:eastAsia="標楷體" w:ascii="Times New Roman" w:hAnsi="Times New Roman"/>
          <w:b w:val="0"/>
          <w:i w:val="0"/>
          <w:sz w:val="24"/>
        </w:rPr>
        <w:t xml:space="preserve">兩項觀察：(1) 此 NMC 電池 </w:t>
      </w:r>
      <w:r>
        <w:rPr>
          <w:rFonts w:eastAsia="標楷體" w:ascii="Times New Roman" w:hAnsi="Times New Roman"/>
          <w:b/>
          <w:i w:val="0"/>
          <w:sz w:val="24"/>
        </w:rPr>
        <w:t>rate capability 極平坦</w:t>
      </w:r>
      <w:r>
        <w:rPr>
          <w:rFonts w:eastAsia="標楷體" w:ascii="Times New Roman" w:hAnsi="Times New Roman"/>
          <w:b w:val="0"/>
          <w:i w:val="0"/>
          <w:sz w:val="24"/>
        </w:rPr>
        <w:t xml:space="preserve">——自 0.5C 至 2.0C（1C = 2 A）放電容量僅下降約 1%，反映其內阻低、極化小，是後續方法比較的有利條件（高倍率下端電壓仍接近 OCV，模型失配較小）。(2) 同倍率跨輪再現性佳（0.5C 三輪 1657–1678 mAh），佐證測試協定與 INA226 校正之穩定性。此「滿放容量」即 4.0 節 SOC 真值正規化所用之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i w:val="0"/>
          <w:sz w:val="24"/>
        </w:rPr>
        <w:t>作為真值的漂移侷限（實測佐證 + 設計分析）</w:t>
      </w:r>
      <w:r>
        <w:rPr>
          <w:rFonts w:eastAsia="標楷體" w:ascii="Times New Roman" w:hAnsi="Times New Roman"/>
          <w:b w:val="0"/>
          <w:i w:val="0"/>
          <w:sz w:val="24"/>
        </w:rPr>
        <w:t>：庫倫計數作為</w:t>
      </w:r>
      <w:r>
        <w:rPr>
          <w:rFonts w:eastAsia="標楷體" w:ascii="Times New Roman" w:hAnsi="Times New Roman"/>
          <w:b/>
          <w:i w:val="0"/>
          <w:sz w:val="24"/>
        </w:rPr>
        <w:t>即時獨立方法</w:t>
      </w:r>
      <w:r>
        <w:rPr>
          <w:rFonts w:eastAsia="標楷體" w:ascii="Times New Roman" w:hAnsi="Times New Roman"/>
          <w:b w:val="0"/>
          <w:i w:val="0"/>
          <w:sz w:val="24"/>
        </w:rPr>
        <w:t xml:space="preserve">之根本弱點為誤差累積。以第三章校正殘差為例，雖然電流校正後 </w:t>
      </w:r>
      <w:r>
        <w:rPr>
          <w:rFonts w:eastAsia="標楷體" w:ascii="Times New Roman" w:hAnsi="Times New Roman"/>
          <w:b w:val="0"/>
          <w:i w:val="0"/>
          <w:sz w:val="24"/>
        </w:rPr>
        <w:t>&lt; 0.21</w:t>
      </w:r>
      <w:r>
        <w:rPr>
          <w:rFonts w:eastAsia="標楷體" w:ascii="Times New Roman" w:hAnsi="Times New Roman"/>
          <w:b w:val="0"/>
          <w:i w:val="0"/>
          <w:sz w:val="24"/>
        </w:rPr>
        <w:t xml:space="preserve"> mA，但若殘餘偏移以最壞情形 </w:t>
      </w:r>
      <w:r>
        <w:rPr>
          <w:rFonts w:eastAsia="標楷體" w:ascii="Times New Roman" w:hAnsi="Times New Roman"/>
          <w:b w:val="0"/>
          <w:i w:val="0"/>
          <w:sz w:val="24"/>
        </w:rPr>
        <w:t>0.2</w:t>
      </w:r>
      <w:r>
        <w:rPr>
          <w:rFonts w:eastAsia="標楷體" w:ascii="Times New Roman" w:hAnsi="Times New Roman"/>
          <w:b w:val="0"/>
          <w:i w:val="0"/>
          <w:sz w:val="24"/>
        </w:rPr>
        <w:t xml:space="preserve"> mA 持續積分，1 cycle（約 2 h @ 0.5C）累積電荷誤差約 </w:t>
      </w:r>
      <w:r>
        <w:rPr>
          <w:rFonts w:eastAsia="標楷體" w:ascii="Times New Roman" w:hAnsi="Times New Roman"/>
          <w:b w:val="0"/>
          <w:i w:val="0"/>
          <w:sz w:val="24"/>
        </w:rPr>
        <w:t>0.2 mA × 7200 s = 1.44</w:t>
      </w:r>
      <w:r>
        <w:rPr>
          <w:rFonts w:eastAsia="標楷體" w:ascii="Times New Roman" w:hAnsi="Times New Roman"/>
          <w:b w:val="0"/>
          <w:i w:val="0"/>
          <w:sz w:val="24"/>
        </w:rPr>
        <w:t xml:space="preserve"> A·s </w:t>
      </w:r>
      <w:r>
        <w:rPr>
          <w:rFonts w:eastAsia="標楷體" w:ascii="Times New Roman" w:hAnsi="Times New Roman"/>
          <w:b w:val="0"/>
          <w:i w:val="0"/>
          <w:sz w:val="24"/>
        </w:rPr>
        <w:t>≈ 0.4</w:t>
      </w:r>
      <w:r>
        <w:rPr>
          <w:rFonts w:eastAsia="標楷體" w:ascii="Times New Roman" w:hAnsi="Times New Roman"/>
          <w:b w:val="0"/>
          <w:i w:val="0"/>
          <w:sz w:val="24"/>
        </w:rPr>
        <w:t xml:space="preserve"> mAh，相對 2000 mAh 約 </w:t>
      </w:r>
      <w:r>
        <w:rPr>
          <w:rFonts w:eastAsia="標楷體" w:ascii="Times New Roman" w:hAnsi="Times New Roman"/>
          <w:b w:val="0"/>
          <w:i w:val="0"/>
          <w:sz w:val="24"/>
        </w:rPr>
        <w:t>0.02%</w:t>
      </w:r>
      <w:r>
        <w:rPr>
          <w:rFonts w:eastAsia="標楷體" w:ascii="Times New Roman" w:hAnsi="Times New Roman"/>
          <w:b w:val="0"/>
          <w:i w:val="0"/>
          <w:sz w:val="24"/>
        </w:rPr>
        <w:t>／cycle——短期可忽略，但連續數百 cycle 無 OCV 修正將線性放大。週期紀錄中 0.5C 容量自 round 1 的 ~100.8% 緩降至 round 19 的 ~98.4%，混合了</w:t>
      </w:r>
      <w:r>
        <w:rPr>
          <w:rFonts w:eastAsia="標楷體" w:ascii="Times New Roman" w:hAnsi="Times New Roman"/>
          <w:b/>
          <w:i w:val="0"/>
          <w:sz w:val="24"/>
        </w:rPr>
        <w:t>真實老化</w:t>
      </w:r>
      <w:r>
        <w:rPr>
          <w:rFonts w:eastAsia="標楷體" w:ascii="Times New Roman" w:hAnsi="Times New Roman"/>
          <w:b w:val="0"/>
          <w:i w:val="0"/>
          <w:sz w:val="24"/>
        </w:rPr>
        <w:t>與</w:t>
      </w:r>
      <w:r>
        <w:rPr>
          <w:rFonts w:eastAsia="標楷體" w:ascii="Times New Roman" w:hAnsi="Times New Roman"/>
          <w:b/>
          <w:i w:val="0"/>
          <w:sz w:val="24"/>
        </w:rPr>
        <w:t>測量再現性</w:t>
      </w:r>
      <w:r>
        <w:rPr>
          <w:rFonts w:eastAsia="標楷體" w:ascii="Times New Roman" w:hAnsi="Times New Roman"/>
          <w:b w:val="0"/>
          <w:i w:val="0"/>
          <w:sz w:val="24"/>
        </w:rPr>
        <w:t>，需第五章以三輪 baseline 變異性分離；就本章而言，重點在於：庫倫計數</w:t>
      </w:r>
      <w:r>
        <w:rPr>
          <w:rFonts w:eastAsia="標楷體" w:ascii="Times New Roman" w:hAnsi="Times New Roman"/>
          <w:b/>
          <w:i w:val="0"/>
          <w:sz w:val="24"/>
        </w:rPr>
        <w:t>無自我修正能力</w:t>
      </w:r>
      <w:r>
        <w:rPr>
          <w:rFonts w:eastAsia="標楷體" w:ascii="Times New Roman" w:hAnsi="Times New Roman"/>
          <w:b w:val="0"/>
          <w:i w:val="0"/>
          <w:sz w:val="24"/>
        </w:rPr>
        <w:t>，這正是 EKF 引入端電壓觀測修正的動機，也是 4.4 強健性比較中「初值錯誤恢復」一項庫倫計數必然失分之處。</w:t>
      </w:r>
    </w:p>
    <w:p>
      <w:pPr>
        <w:spacing w:lineRule="atLeast" w:line="480"/>
        <w:ind w:firstLine="480"/>
        <w:jc w:val="both"/>
      </w:pPr>
      <w:r>
        <w:rPr>
          <w:rFonts w:eastAsia="標楷體" w:ascii="Times New Roman" w:hAnsi="Times New Roman"/>
          <w:b/>
          <w:i w:val="0"/>
          <w:sz w:val="24"/>
        </w:rPr>
        <w:t>作為 ground truth 的使用方式（本章框架）</w:t>
      </w:r>
      <w:r>
        <w:rPr>
          <w:rFonts w:eastAsia="標楷體" w:ascii="Times New Roman" w:hAnsi="Times New Roman"/>
          <w:b w:val="0"/>
          <w:i w:val="0"/>
          <w:sz w:val="24"/>
        </w:rPr>
        <w:t xml:space="preserve">：4.2／4.3 兩法之精度評估，均以「逐 cycle 重新錨定的庫倫 SOC」為對照。具體流程為：對每個放電 cycle，以該 cycle 起點為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=100%</w:t>
      </w:r>
      <w:r>
        <w:rPr>
          <w:rFonts w:eastAsia="標楷體" w:ascii="Times New Roman" w:hAnsi="Times New Roman"/>
          <w:b w:val="0"/>
          <w:i w:val="0"/>
          <w:sz w:val="24"/>
        </w:rPr>
        <w:t xml:space="preserve">、以實測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正規化積分得逐秒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(t)</w:t>
      </w:r>
      <w:r>
        <w:rPr>
          <w:rFonts w:eastAsia="標楷體" w:ascii="Times New Roman" w:hAnsi="Times New Roman"/>
          <w:b w:val="0"/>
          <w:i w:val="0"/>
          <w:sz w:val="24"/>
        </w:rPr>
        <w:t xml:space="preserve">，再與待評估方法的 </w:t>
      </w:r>
      <w:r>
        <w:rPr>
          <w:rFonts w:eastAsia="標楷體" w:ascii="Times New Roman" w:hAnsi="Times New Roman"/>
          <w:b w:val="0"/>
          <w:i w:val="0"/>
          <w:sz w:val="24"/>
        </w:rPr>
        <w:t>SOĈ(t)</w:t>
      </w:r>
      <w:r>
        <w:rPr>
          <w:rFonts w:eastAsia="標楷體" w:ascii="Times New Roman" w:hAnsi="Times New Roman"/>
          <w:b w:val="0"/>
          <w:i w:val="0"/>
          <w:sz w:val="24"/>
        </w:rPr>
        <w:t xml:space="preserve"> 逐點相減計算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。此框架使「真值本身的長期漂移」被排除在比較之外，確保比較的是各方法的</w:t>
      </w:r>
      <w:r>
        <w:rPr>
          <w:rFonts w:eastAsia="標楷體" w:ascii="Times New Roman" w:hAnsi="Times New Roman"/>
          <w:b/>
          <w:i w:val="0"/>
          <w:sz w:val="24"/>
        </w:rPr>
        <w:t>模型／演算法能力</w:t>
      </w:r>
      <w:r>
        <w:rPr>
          <w:rFonts w:eastAsia="標楷體" w:ascii="Times New Roman" w:hAnsi="Times New Roman"/>
          <w:b w:val="0"/>
          <w:i w:val="0"/>
          <w:sz w:val="24"/>
        </w:rPr>
        <w:t>而非積分器漂移。</w:t>
      </w:r>
    </w:p>
    <w:p>
      <w:pPr>
        <w:spacing w:before="240" w:after="120" w:lineRule="atLeast" w:line="360"/>
        <w:jc w:val="left"/>
      </w:pPr>
      <w:r>
        <w:rPr>
          <w:rFonts w:eastAsia="標楷體" w:ascii="Times New Roman" w:hAnsi="Times New Roman"/>
          <w:b/>
          <w:i w:val="0"/>
          <w:sz w:val="28"/>
        </w:rPr>
        <w:t>4.2 擴展卡爾曼濾波器（EKF）</w:t>
      </w:r>
    </w:p>
    <w:p>
      <w:pPr>
        <w:spacing w:lineRule="atLeast" w:line="320" w:before="40" w:after="40"/>
        <w:ind w:left="360"/>
        <w:jc w:val="left"/>
      </w:pPr>
      <w:r>
        <w:rPr>
          <w:rFonts w:eastAsia="標楷體" w:ascii="Times New Roman" w:hAnsi="Times New Roman"/>
          <w:b w:val="0"/>
          <w:i/>
          <w:color w:val="606060"/>
          <w:sz w:val="21"/>
        </w:rPr>
        <w:t>本節原理、狀態空間、演算法與嵌入式實作為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；4.2.5 之實驗結果依賴 (a) GITT 開路電壓對照表之建立、(b) PC 端 EKF 原型調參、(c) 嵌入式移植，三者於本稿時點尚在進行，數值結果一律標 </w:t>
      </w:r>
      <w:r>
        <w:rPr>
          <w:rFonts w:eastAsia="標楷體" w:ascii="Consolas" w:hAnsi="Consolas"/>
          <w:b w:val="0"/>
          <w:i/>
          <w:color w:val="606060"/>
          <w:sz w:val="19"/>
        </w:rPr>
        <w:t>[待測]</w:t>
      </w:r>
      <w:r>
        <w:rPr>
          <w:rFonts w:eastAsia="標楷體" w:ascii="Times New Roman" w:hAnsi="Times New Roman"/>
          <w:b w:val="0"/>
          <w:i/>
          <w:color w:val="606060"/>
          <w:sz w:val="21"/>
        </w:rPr>
        <w:t>。</w:t>
      </w:r>
    </w:p>
    <w:p>
      <w:pPr>
        <w:spacing w:before="160" w:after="80" w:lineRule="atLeast" w:line="360"/>
        <w:jc w:val="left"/>
      </w:pPr>
      <w:r>
        <w:rPr>
          <w:rFonts w:eastAsia="標楷體" w:ascii="Times New Roman" w:hAnsi="Times New Roman"/>
          <w:b/>
          <w:i w:val="0"/>
          <w:sz w:val="26"/>
        </w:rPr>
        <w:t>4.2.1 原理與狀態空間模型</w:t>
      </w:r>
    </w:p>
    <w:p>
      <w:pPr>
        <w:spacing w:lineRule="atLeast" w:line="480"/>
        <w:ind w:firstLine="480"/>
        <w:jc w:val="both"/>
      </w:pPr>
      <w:r>
        <w:rPr>
          <w:rFonts w:eastAsia="標楷體" w:ascii="Times New Roman" w:hAnsi="Times New Roman"/>
          <w:b w:val="0"/>
          <w:i w:val="0"/>
          <w:sz w:val="24"/>
        </w:rPr>
        <w:t>EKF 將 SOC 視為動態系統的隱藏狀態，融合「電流積分（模型預測）」與「端電壓（量測更新）」兩路資訊，在過程雜訊與量測雜訊並存下對 SOC 做遞迴最小均方誤差估測，兼具庫倫計數的良好動態與 OCV 的絕對校正能力，並能自初值錯誤收斂（第二章 2.2.3 節）。</w:t>
      </w:r>
    </w:p>
    <w:p>
      <w:pPr>
        <w:spacing w:lineRule="atLeast" w:line="480"/>
        <w:ind w:firstLine="480"/>
        <w:jc w:val="both"/>
      </w:pPr>
      <w:r>
        <w:rPr>
          <w:rFonts w:eastAsia="標楷體" w:ascii="Times New Roman" w:hAnsi="Times New Roman"/>
          <w:b w:val="0"/>
          <w:i w:val="0"/>
          <w:sz w:val="24"/>
        </w:rPr>
        <w:t xml:space="preserve">採第二章 2.1.3 節所述之一階 RC（戴維寧）模型作為基礎結構，狀態取 </w:t>
      </w:r>
      <w:r>
        <w:rPr>
          <w:rFonts w:eastAsia="標楷體" w:ascii="Times New Roman" w:hAnsi="Times New Roman"/>
          <w:b w:val="0"/>
          <w:i w:val="0"/>
          <w:sz w:val="24"/>
        </w:rPr>
        <w:t xml:space="preserve">x = [SOC,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 xml:space="preserve">，輸入 </w:t>
      </w:r>
      <w:r>
        <w:rPr>
          <w:rFonts w:eastAsia="標楷體" w:ascii="Times New Roman" w:hAnsi="Times New Roman"/>
          <w:b w:val="0"/>
          <w:i w:val="0"/>
          <w:sz w:val="24"/>
        </w:rPr>
        <w:t>u = I</w:t>
      </w:r>
      <w:r>
        <w:rPr>
          <w:rFonts w:eastAsia="標楷體" w:ascii="Times New Roman" w:hAnsi="Times New Roman"/>
          <w:b w:val="0"/>
          <w:i w:val="0"/>
          <w:sz w:val="24"/>
        </w:rPr>
        <w:t xml:space="preserve">（放電為正），輸出 </w:t>
      </w:r>
      <w:r>
        <w:rPr>
          <w:rFonts w:eastAsia="標楷體" w:ascii="Times New Roman" w:hAnsi="Times New Roman"/>
          <w:b w:val="0"/>
          <w:i w:val="0"/>
          <w:sz w:val="24"/>
        </w:rPr>
        <w:t xml:space="preserve">y = 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。連續時間方程：</w:t>
      </w:r>
    </w:p>
    <w:p>
      <w:pPr>
        <w:spacing w:before="120" w:after="120" w:lineRule="atLeast" w:line="480"/>
        <w:jc w:val="center"/>
      </w:pPr>
      <w:r>
        <w:rPr>
          <w:rFonts w:eastAsia="標楷體" w:ascii="Cambria Math" w:hAnsi="Cambria Math"/>
          <w:sz w:val="24"/>
        </w:rPr>
        <w:t xml:space="preserve">SOĊ = -(1)/(C</w:t>
      </w:r>
      <w:r>
        <w:rPr>
          <w:rFonts w:eastAsia="標楷體" w:ascii="Cambria Math" w:hAnsi="Cambria Math"/>
          <w:sz w:val="24"/>
          <w:vertAlign w:val="subscript"/>
        </w:rPr>
        <w:t xml:space="preserve">rated</w:t>
      </w:r>
      <w:r>
        <w:rPr>
          <w:rFonts w:eastAsia="標楷體" w:ascii="Cambria Math" w:hAnsi="Cambria Math"/>
          <w:sz w:val="24"/>
        </w:rPr>
        <w:t xml:space="preserve">) I 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以取樣週期 </w:t>
      </w:r>
      <w:r>
        <w:rPr>
          <w:rFonts w:eastAsia="標楷體" w:ascii="Times New Roman" w:hAnsi="Times New Roman"/>
          <w:b w:val="0"/>
          <w:i w:val="0"/>
          <w:sz w:val="24"/>
        </w:rPr>
        <w:t>Δ t</w:t>
      </w:r>
      <w:r>
        <w:rPr>
          <w:rFonts w:eastAsia="標楷體" w:ascii="Times New Roman" w:hAnsi="Times New Roman"/>
          <w:b w:val="0"/>
          <w:i w:val="0"/>
          <w:sz w:val="24"/>
        </w:rPr>
        <w:t xml:space="preserve"> 離散化（前向 Euler），得狀態轉移與觀測：</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1 0 0 e^-Δ t / 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A</w:t>
      </w:r>
      <w:r>
        <w:rPr>
          <w:rFonts w:eastAsia="標楷體" w:ascii="Cambria Math" w:hAnsi="Cambria Math"/>
          <w:sz w:val="24"/>
          <w:vertAlign w:val="subscript"/>
        </w:rPr>
        <w:t xml:space="preserve">k</w:t>
      </w:r>
      <w:r>
        <w:rPr>
          <w:rFonts w:eastAsia="標楷體" w:ascii="Cambria Math" w:hAnsi="Cambria Math"/>
          <w:sz w:val="24"/>
        </w:rPr>
        <w:t xml:space="preserve"> x</w:t>
      </w:r>
      <w:r>
        <w:rPr>
          <w:rFonts w:eastAsia="標楷體" w:ascii="Cambria Math" w:hAnsi="Cambria Math"/>
          <w:sz w:val="24"/>
          <w:vertAlign w:val="subscript"/>
        </w:rPr>
        <w:t xml:space="preserve">k</w:t>
      </w:r>
      <w:r>
        <w:rPr>
          <w:rFonts w:eastAsia="標楷體" w:ascii="Cambria Math" w:hAnsi="Cambria Math"/>
          <w:sz w:val="24"/>
        </w:rPr>
        <w:t xml:space="preserve"> + -Δ t / C</w:t>
      </w:r>
      <w:r>
        <w:rPr>
          <w:rFonts w:eastAsia="標楷體" w:ascii="Cambria Math" w:hAnsi="Cambria Math"/>
          <w:sz w:val="24"/>
          <w:vertAlign w:val="subscript"/>
        </w:rPr>
        <w:t xml:space="preserve">rated</w:t>
      </w:r>
      <w:r>
        <w:rPr>
          <w:rFonts w:eastAsia="標楷體" w:ascii="Cambria Math" w:hAnsi="Cambria Math"/>
          <w:sz w:val="24"/>
        </w:rPr>
        <w:t xml:space="preserve"> R</w:t>
      </w:r>
      <w:r>
        <w:rPr>
          <w:rFonts w:eastAsia="標楷體" w:ascii="Cambria Math" w:hAnsi="Cambria Math"/>
          <w:sz w:val="24"/>
          <w:vertAlign w:val="subscript"/>
        </w:rPr>
        <w:t xml:space="preserve">1</w:t>
      </w:r>
      <w:r>
        <w:rPr>
          <w:rFonts w:eastAsia="標楷體" w:ascii="Cambria Math" w:hAnsi="Cambria Math"/>
          <w:sz w:val="24"/>
        </w:rPr>
        <w:t xml:space="preserve">(1 - e^-Δ t/τ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B</w:t>
      </w:r>
      <w:r>
        <w:rPr>
          <w:rFonts w:eastAsia="標楷體" w:ascii="Cambria Math" w:hAnsi="Cambria Math"/>
          <w:sz w:val="24"/>
          <w:vertAlign w:val="subscript"/>
        </w:rPr>
        <w:t xml:space="preserve">k</w:t>
      </w:r>
      <w:r>
        <w:rPr>
          <w:rFonts w:eastAsia="標楷體" w:ascii="Cambria Math" w:hAnsi="Cambria Math"/>
          <w:sz w:val="24"/>
        </w:rPr>
        <w:t xml:space="preserve"> I</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p>
    <w:p>
      <w:pPr>
        <w:spacing w:before="120" w:after="120" w:lineRule="atLeast" w:line="480"/>
        <w:jc w:val="center"/>
      </w:pPr>
      <w:r>
        <w:rPr>
          <w:rFonts w:eastAsia="標楷體" w:ascii="Cambria Math" w:hAnsi="Cambria Math"/>
          <w:sz w:val="24"/>
        </w:rPr>
        <w:t xml:space="preserve">y</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w:t>
      </w:r>
      <w:r>
        <w:rPr>
          <w:rFonts w:eastAsia="標楷體" w:ascii="Cambria Math" w:hAnsi="Cambria Math"/>
          <w:sz w:val="24"/>
          <w:vertAlign w:val="subscript"/>
        </w:rPr>
        <w:t xml:space="preserve">k</w:t>
      </w:r>
      <w:r>
        <w:rPr>
          <w:rFonts w:eastAsia="標楷體" w:ascii="Cambria Math" w:hAnsi="Cambria Math"/>
          <w:sz w:val="24"/>
        </w:rPr>
        <w:t xml:space="preserve">) - I</w:t>
      </w:r>
      <w:r>
        <w:rPr>
          <w:rFonts w:eastAsia="標楷體" w:ascii="Cambria Math" w:hAnsi="Cambria Math"/>
          <w:sz w:val="24"/>
          <w:vertAlign w:val="subscript"/>
        </w:rPr>
        <w:t xml:space="preserve">k</w:t>
      </w:r>
      <w:r>
        <w:rPr>
          <w:rFonts w:eastAsia="標楷體" w:ascii="Cambria Math" w:hAnsi="Cambria Math"/>
          <w:sz w:val="24"/>
        </w:rPr>
        <w:t xml:space="preserve">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r>
        <w:rPr>
          <w:rFonts w:eastAsia="標楷體" w:ascii="Cambria Math" w:hAnsi="Cambria Math"/>
          <w:sz w:val="24"/>
        </w:rPr>
        <w:t xml:space="preserve">,k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之離散化採零階保持（ZOH）精確解 </w:t>
      </w:r>
      <w:r>
        <w:rPr>
          <w:rFonts w:eastAsia="標楷體" w:ascii="Times New Roman" w:hAnsi="Times New Roman"/>
          <w:b w:val="0"/>
          <w:i w:val="0"/>
          <w:sz w:val="24"/>
        </w:rPr>
        <w:t xml:space="preserve">e^-Δ t/τ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而非單純 Euler，以避免 </w:t>
      </w:r>
      <w:r>
        <w:rPr>
          <w:rFonts w:eastAsia="標楷體" w:ascii="Times New Roman" w:hAnsi="Times New Roman"/>
          <w:b w:val="0"/>
          <w:i w:val="0"/>
          <w:sz w:val="24"/>
        </w:rPr>
        <w:t>Δ t</w:t>
      </w:r>
      <w:r>
        <w:rPr>
          <w:rFonts w:eastAsia="標楷體" w:ascii="Times New Roman" w:hAnsi="Times New Roman"/>
          <w:b w:val="0"/>
          <w:i w:val="0"/>
          <w:sz w:val="24"/>
        </w:rPr>
        <w:t xml:space="preserve"> 相對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不夠小時的離散化誤差。</w:t>
      </w:r>
    </w:p>
    <w:p>
      <w:pPr>
        <w:spacing w:before="160" w:after="80" w:lineRule="atLeast" w:line="360"/>
        <w:jc w:val="left"/>
      </w:pPr>
      <w:r>
        <w:rPr>
          <w:rFonts w:eastAsia="標楷體" w:ascii="Times New Roman" w:hAnsi="Times New Roman"/>
          <w:b/>
          <w:i w:val="0"/>
          <w:sz w:val="26"/>
        </w:rPr>
        <w:t>4.2.2 觀測非線性與線性化</w:t>
      </w:r>
    </w:p>
    <w:p>
      <w:pPr>
        <w:spacing w:lineRule="atLeast" w:line="480"/>
        <w:ind w:firstLine="480"/>
        <w:jc w:val="both"/>
      </w:pPr>
      <w:r>
        <w:rPr>
          <w:rFonts w:eastAsia="標楷體" w:ascii="Times New Roman" w:hAnsi="Times New Roman"/>
          <w:b w:val="0"/>
          <w:i w:val="0"/>
          <w:sz w:val="24"/>
        </w:rPr>
        <w:t xml:space="preserve">觀測方程的非線性源自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。本研究以開路電壓特性量測（GITT 標準協定 [5]）建立之 pseudo-OCV 表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作為此函數，於 MCU 上以分段線性內插求值。EKF 量測更新所需之觀測雅可比為：</w:t>
      </w:r>
    </w:p>
    <w:p>
      <w:pPr>
        <w:spacing w:before="120" w:after="120" w:lineRule="atLeast" w:line="480"/>
        <w:jc w:val="center"/>
      </w:pPr>
      <w:r>
        <w:rPr>
          <w:rFonts w:eastAsia="標楷體" w:ascii="Cambria Math" w:hAnsi="Cambria Math"/>
          <w:sz w:val="24"/>
        </w:rPr>
        <w:t xml:space="preserve">C</w:t>
      </w:r>
      <w:r>
        <w:rPr>
          <w:rFonts w:eastAsia="標楷體" w:ascii="Cambria Math" w:hAnsi="Cambria Math"/>
          <w:sz w:val="24"/>
          <w:vertAlign w:val="subscript"/>
        </w:rPr>
        <w:t xml:space="preserve">k</w:t>
      </w:r>
      <w:r>
        <w:rPr>
          <w:rFonts w:eastAsia="標楷體" w:ascii="Cambria Math" w:hAnsi="Cambria Math"/>
          <w:sz w:val="24"/>
        </w:rPr>
        <w:t xml:space="preserve"> = (∂ y)/(∂ x)|</w:t>
      </w:r>
      <w:r>
        <w:rPr>
          <w:rFonts w:eastAsia="標楷體" w:ascii="Cambria Math" w:hAnsi="Cambria Math"/>
          <w:sz w:val="24"/>
          <w:vertAlign w:val="subscript"/>
        </w:rPr>
        <w:t xml:space="preserve">x</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 (∂ V</w:t>
      </w:r>
      <w:r>
        <w:rPr>
          <w:rFonts w:eastAsia="標楷體" w:ascii="Cambria Math" w:hAnsi="Cambria Math"/>
          <w:sz w:val="24"/>
          <w:vertAlign w:val="subscript"/>
        </w:rPr>
        <w:t xml:space="preserve">OC</w:t>
      </w:r>
      <w:r>
        <w:rPr>
          <w:rFonts w:eastAsia="標楷體" w:ascii="Cambria Math" w:hAnsi="Cambria Math"/>
          <w:sz w:val="24"/>
        </w:rPr>
        <w:t xml:space="preserve">)/(∂ SOC)|</w:t>
      </w:r>
      <w:r>
        <w:rPr>
          <w:rFonts w:eastAsia="標楷體" w:ascii="Cambria Math" w:hAnsi="Cambria Math"/>
          <w:sz w:val="24"/>
          <w:vertAlign w:val="subscript"/>
        </w:rPr>
        <w:t xml:space="preserve">SOC</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-1</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 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 / ∂ SOC</w:t>
      </w:r>
      <w:r>
        <w:rPr>
          <w:rFonts w:eastAsia="標楷體" w:ascii="Times New Roman" w:hAnsi="Times New Roman"/>
          <w:b w:val="0"/>
          <w:i w:val="0"/>
          <w:sz w:val="24"/>
        </w:rPr>
        <w:t xml:space="preserve"> 由 OCV 表相鄰 bin 的斜率取得（分段線性下即該段斜率）。為避免 GITT 表 5% 步長造成斜率階梯不連續而擾動濾波器，OCV 表於載入時先以 1% 細網格重新內插並平滑，使雅可比連續（細節見 4.2.4）。</w:t>
      </w:r>
    </w:p>
    <w:p>
      <w:pPr>
        <w:spacing w:before="160" w:after="80" w:lineRule="atLeast" w:line="360"/>
        <w:jc w:val="left"/>
      </w:pPr>
      <w:r>
        <w:rPr>
          <w:rFonts w:eastAsia="標楷體" w:ascii="Times New Roman" w:hAnsi="Times New Roman"/>
          <w:b/>
          <w:i w:val="0"/>
          <w:sz w:val="26"/>
        </w:rPr>
        <w:t>4.2.3 演算法（標準 EKF 遞迴）</w:t>
      </w:r>
    </w:p>
    <w:p>
      <w:pPr>
        <w:spacing w:lineRule="atLeast" w:line="480"/>
        <w:ind w:firstLine="480"/>
        <w:jc w:val="both"/>
      </w:pPr>
      <w:r>
        <w:rPr>
          <w:rFonts w:eastAsia="標楷體" w:ascii="Times New Roman" w:hAnsi="Times New Roman"/>
          <w:b w:val="0"/>
          <w:i w:val="0"/>
          <w:sz w:val="24"/>
        </w:rPr>
        <w:t>每個週期（每秒）執行一次「預測—更新」遞迴，流程如圖 4-2 所示：先由電流以狀態方程做時間更新（得到狀態與不確定度的預測），再以實際量到的端電壓做量測更新（計算修正增益、把預測拉回實際），輸出限幅後的 SOC 並進入下一週期。</w:t>
      </w:r>
    </w:p>
    <w:p>
      <w:pPr>
        <w:spacing w:before="120" w:after="40"/>
        <w:jc w:val="center"/>
      </w:pPr>
      <w:r>
        <w:drawing>
          <wp:inline xmlns:a="http://schemas.openxmlformats.org/drawingml/2006/main" xmlns:pic="http://schemas.openxmlformats.org/drawingml/2006/picture">
            <wp:extent cx="4860000" cy="5008775"/>
            <wp:docPr id="4" name="Picture 4"/>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4860000" cy="5008775"/>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4-2</w:t>
      </w:r>
      <w:r>
        <w:rPr>
          <w:rFonts w:eastAsia="標楷體" w:ascii="Times New Roman" w:hAnsi="Times New Roman"/>
          <w:b w:val="0"/>
          <w:i w:val="0"/>
          <w:sz w:val="22"/>
        </w:rPr>
        <w:t xml:space="preserve">　EKF 之預測—更新遞迴流程（一階 RC，狀態 [SOC, V1]）</w:t>
      </w:r>
    </w:p>
    <w:p>
      <w:pPr>
        <w:spacing w:lineRule="atLeast" w:line="480"/>
        <w:ind w:firstLine="480"/>
        <w:jc w:val="both"/>
      </w:pPr>
      <w:r>
        <w:rPr>
          <w:rFonts w:eastAsia="標楷體" w:ascii="Times New Roman" w:hAnsi="Times New Roman"/>
          <w:b w:val="0"/>
          <w:i w:val="0"/>
          <w:sz w:val="24"/>
        </w:rPr>
        <w:t>此問題的狀態只有兩維、觀測只有一維，因此增益計算僅需一次純量除法、無需一般矩陣求逆——這是擴展卡爾曼濾波器能在微控制器上即時運行的關鍵。其中電池內阻與極化等模型參數，由放電擾動段的電壓階躍與回彈以最小平方辨識；過程雜訊與量測雜訊則為調參項。</w:t>
      </w:r>
      <w:r>
        <w:rPr>
          <w:rFonts w:eastAsia="標楷體" w:ascii="Consolas" w:hAnsi="Consolas"/>
          <w:b w:val="0"/>
          <w:i w:val="0"/>
          <w:sz w:val="21"/>
        </w:rPr>
        <w:t>[待測]</w:t>
      </w:r>
      <w:r>
        <w:rPr>
          <w:rFonts w:eastAsia="標楷體" w:ascii="Times New Roman" w:hAnsi="Times New Roman"/>
          <w:b w:val="0"/>
          <w:i w:val="0"/>
          <w:sz w:val="24"/>
        </w:rPr>
        <w:t xml:space="preserve"> 上述模型參數與雜訊設定之最終值待 PC 端原型完成後填入。</w:t>
      </w:r>
    </w:p>
    <w:p>
      <w:pPr>
        <w:spacing w:before="160" w:after="80" w:lineRule="atLeast" w:line="360"/>
        <w:jc w:val="left"/>
      </w:pPr>
      <w:r>
        <w:rPr>
          <w:rFonts w:eastAsia="標楷體" w:ascii="Times New Roman" w:hAnsi="Times New Roman"/>
          <w:b/>
          <w:i w:val="0"/>
          <w:sz w:val="26"/>
        </w:rPr>
        <w:t>4.2.4 嵌入式實作</w:t>
      </w:r>
    </w:p>
    <w:p>
      <w:pPr>
        <w:spacing w:lineRule="atLeast" w:line="480"/>
        <w:ind w:firstLine="480"/>
        <w:jc w:val="both"/>
      </w:pPr>
      <w:r>
        <w:rPr>
          <w:rFonts w:eastAsia="標楷體" w:ascii="Times New Roman" w:hAnsi="Times New Roman"/>
          <w:b w:val="0"/>
          <w:i w:val="0"/>
          <w:sz w:val="24"/>
        </w:rPr>
        <w:t>EKF 在微控制器上的負擔明顯高於庫倫計數：它需要一張開路電壓對照表，並在每秒做一次小型的「預測—更新」運算與一次端電壓比對來修正估測。由於本研究所用微控制器沒有硬體浮點運算單元，這些運算改以軟體模擬完成，因此耗用的運算時間最長、佔用的程式空間與記憶體也最大——這正是 4.4 節要量化的「以較高資源換取較佳精度與強健性」之代價。實作上採用數值穩定的更新方式並把估測值限制在合理範圍，確保長時間運行不發散。</w:t>
      </w:r>
    </w:p>
    <w:p>
      <w:pPr>
        <w:spacing w:before="160" w:after="80" w:lineRule="atLeast" w:line="360"/>
        <w:jc w:val="left"/>
      </w:pPr>
      <w:r>
        <w:rPr>
          <w:rFonts w:eastAsia="標楷體" w:ascii="Times New Roman" w:hAnsi="Times New Roman"/>
          <w:b/>
          <w:i w:val="0"/>
          <w:sz w:val="26"/>
        </w:rPr>
        <w:t>4.2.5 實驗結果</w:t>
      </w:r>
    </w:p>
    <w:p>
      <w:pPr>
        <w:spacing w:lineRule="atLeast" w:line="320" w:before="40" w:after="40"/>
        <w:ind w:left="360"/>
        <w:jc w:val="left"/>
      </w:pPr>
      <w:r>
        <w:rPr>
          <w:rFonts w:eastAsia="標楷體" w:ascii="Times New Roman" w:hAnsi="Times New Roman"/>
          <w:b w:val="0"/>
          <w:i/>
          <w:color w:val="606060"/>
          <w:sz w:val="21"/>
        </w:rPr>
        <w:t>以下結果依賴 GITT OCV 表、PC 原型與 STM32 移植，本稿時點尚未取得，</w:t>
      </w:r>
      <w:r>
        <w:rPr>
          <w:rFonts w:eastAsia="標楷體" w:ascii="Times New Roman" w:hAnsi="Times New Roman"/>
          <w:b/>
          <w:i/>
          <w:color w:val="606060"/>
          <w:sz w:val="21"/>
        </w:rPr>
        <w:t>全部標 `[待測]`，不填虛構數值</w:t>
      </w:r>
      <w:r>
        <w:rPr>
          <w:rFonts w:eastAsia="標楷體" w:ascii="Times New Roman" w:hAnsi="Times New Roman"/>
          <w:b w:val="0"/>
          <w:i/>
          <w:color w:val="606060"/>
          <w:sz w:val="21"/>
        </w:rPr>
        <w:t>。</w:t>
      </w:r>
    </w:p>
    <w:p>
      <w:pPr>
        <w:spacing w:lineRule="atLeast" w:line="480"/>
        <w:ind w:firstLine="480"/>
        <w:jc w:val="both"/>
      </w:pPr>
      <w:r>
        <w:rPr>
          <w:rFonts w:eastAsia="標楷體" w:ascii="Times New Roman" w:hAnsi="Times New Roman"/>
          <w:b/>
          <w:i w:val="0"/>
          <w:sz w:val="24"/>
        </w:rPr>
        <w:t>OCV 表（前置產物）</w:t>
      </w:r>
      <w:r>
        <w:rPr>
          <w:rFonts w:eastAsia="標楷體" w:ascii="Times New Roman" w:hAnsi="Times New Roman"/>
          <w:b w:val="0"/>
          <w:i w:val="0"/>
          <w:sz w:val="24"/>
        </w:rPr>
        <w:t>：</w:t>
      </w:r>
      <w:r>
        <w:rPr>
          <w:rFonts w:eastAsia="標楷體" w:ascii="Consolas" w:hAnsi="Consolas"/>
          <w:b w:val="0"/>
          <w:i w:val="0"/>
          <w:sz w:val="21"/>
        </w:rPr>
        <w:t>[待測]</w:t>
      </w:r>
      <w:r>
        <w:rPr>
          <w:rFonts w:eastAsia="標楷體" w:ascii="Times New Roman" w:hAnsi="Times New Roman"/>
          <w:b w:val="0"/>
          <w:i w:val="0"/>
          <w:sz w:val="24"/>
        </w:rPr>
        <w:t xml:space="preserve"> GITT 雙向 pseudo-OCV 表（SOC ×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disch</w:t>
      </w:r>
      <w:r>
        <w:rPr>
          <w:rFonts w:eastAsia="標楷體" w:ascii="Times New Roman" w:hAnsi="Times New Roman"/>
          <w:b w:val="0"/>
          <w:i w:val="0"/>
          <w:sz w:val="24"/>
        </w:rPr>
        <w:t xml:space="preserve"> ×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chg</w:t>
      </w:r>
      <w:r>
        <w:rPr>
          <w:rFonts w:eastAsia="標楷體" w:ascii="Times New Roman" w:hAnsi="Times New Roman"/>
          <w:b w:val="0"/>
          <w:i w:val="0"/>
          <w:sz w:val="24"/>
        </w:rPr>
        <w:t xml:space="preserve"> ×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，源 </w:t>
      </w:r>
      <w:r>
        <w:rPr>
          <w:rFonts w:eastAsia="標楷體" w:ascii="Consolas" w:hAnsi="Consolas"/>
          <w:b w:val="0"/>
          <w:i w:val="0"/>
          <w:sz w:val="21"/>
        </w:rPr>
        <w:t xml:space="preserve">ocv</w:t>
      </w:r>
      <w:r>
        <w:rPr>
          <w:rFonts w:eastAsia="標楷體" w:ascii="Consolas" w:hAnsi="Consolas"/>
          <w:b w:val="0"/>
          <w:i w:val="0"/>
          <w:sz w:val="21"/>
          <w:vertAlign w:val="subscript"/>
        </w:rPr>
        <w:t xml:space="preserve">table</w:t>
      </w:r>
      <w:r>
        <w:rPr>
          <w:rFonts w:eastAsia="標楷體" w:ascii="Consolas" w:hAnsi="Consolas"/>
          <w:b w:val="0"/>
          <w:i w:val="0"/>
          <w:sz w:val="21"/>
        </w:rPr>
        <w:t xml:space="preserve">_*.csv</w:t>
      </w:r>
      <w:r>
        <w:rPr>
          <w:rFonts w:eastAsia="標楷體" w:ascii="Times New Roman" w:hAnsi="Times New Roman"/>
          <w:b w:val="0"/>
          <w:i w:val="0"/>
          <w:sz w:val="24"/>
        </w:rPr>
        <w:t>），及其 1% 細化曲線與斜率。</w:t>
      </w:r>
    </w:p>
    <w:p>
      <w:pPr>
        <w:spacing w:lineRule="atLeast" w:line="480"/>
        <w:ind w:firstLine="480"/>
        <w:jc w:val="both"/>
      </w:pPr>
      <w:r>
        <w:rPr>
          <w:rFonts w:eastAsia="標楷體" w:ascii="Times New Roman" w:hAnsi="Times New Roman"/>
          <w:b/>
          <w:i w:val="0"/>
          <w:sz w:val="24"/>
        </w:rPr>
        <w:t>標稱工況精度</w:t>
      </w:r>
      <w:r>
        <w:rPr>
          <w:rFonts w:eastAsia="標楷體" w:ascii="Times New Roman" w:hAnsi="Times New Roman"/>
          <w:b w:val="0"/>
          <w:i w:val="0"/>
          <w:sz w:val="24"/>
        </w:rPr>
        <w:t>：對 0.5C／1.0C／1.5C／2.0C 各放電 cycle，以 4.0 節框架計算 EKF 之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w:t>
      </w:r>
      <w:r>
        <w:rPr>
          <w:rFonts w:eastAsia="標楷體" w:ascii="Consolas" w:hAnsi="Consolas"/>
          <w:b w:val="0"/>
          <w:i w:val="0"/>
          <w:sz w:val="21"/>
        </w:rPr>
        <w:t>[待測]</w:t>
      </w:r>
      <w:r>
        <w:rPr>
          <w:rFonts w:eastAsia="標楷體" w:ascii="Times New Roman" w:hAnsi="Times New Roman"/>
          <w:b w:val="0"/>
          <w:i w:val="0"/>
          <w:sz w:val="24"/>
        </w:rPr>
        <w:t xml:space="preserve"> 數值。</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0"/>
        <w:gridCol w:w="1720"/>
        <w:gridCol w:w="1505"/>
        <w:gridCol w:w="2795"/>
        <w:gridCol w:w="1720"/>
      </w:tblGrid>
      <w:tr>
        <w:tc>
          <w:tcPr>
            <w:tcW w:type="dxa" w:w="860"/>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720"/>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1505"/>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2795"/>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720"/>
            <w:shd w:val="clear" w:color="auto" w:fill="D9E2F3"/>
            <w:vAlign w:val="center"/>
          </w:tcPr>
          <w:p>
            <w:pPr>
              <w:spacing w:before="20" w:after="20" w:lineRule="atLeast" w:line="280"/>
              <w:jc w:val="center"/>
            </w:pPr>
            <w:r>
              <w:rPr>
                <w:rFonts w:eastAsia="標楷體" w:ascii="Times New Roman" w:hAnsi="Times New Roman"/>
                <w:b/>
                <w:i w:val="0"/>
                <w:sz w:val="21"/>
              </w:rPr>
              <w:t>收斂時間 (s)</w:t>
            </w:r>
          </w:p>
        </w:tc>
      </w:tr>
      <w:tr>
        <w:tc>
          <w:tcPr>
            <w:tcW w:type="dxa" w:w="860"/>
            <w:vAlign w:val="center"/>
          </w:tcPr>
          <w:p>
            <w:pPr>
              <w:spacing w:before="20" w:after="20" w:lineRule="atLeast" w:line="280"/>
              <w:jc w:val="right"/>
            </w:pPr>
            <w:r>
              <w:rPr>
                <w:rFonts w:eastAsia="標楷體" w:ascii="Times New Roman" w:hAnsi="Times New Roman"/>
                <w:b w:val="0"/>
                <w:i w:val="0"/>
                <w:sz w:val="21"/>
              </w:rPr>
              <w:t>0.5C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1.0C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1.5C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2.0C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bl>
    <w:p>
      <w:pPr>
        <w:spacing w:before="60" w:after="160" w:lineRule="atLeast" w:line="320"/>
        <w:jc w:val="center"/>
      </w:pPr>
      <w:r>
        <w:rPr>
          <w:rFonts w:eastAsia="標楷體" w:ascii="Times New Roman" w:hAnsi="Times New Roman"/>
          <w:b/>
          <w:i w:val="0"/>
          <w:sz w:val="22"/>
        </w:rPr>
        <w:t>表 4-2</w:t>
      </w:r>
      <w:r>
        <w:rPr>
          <w:rFonts w:eastAsia="標楷體" w:ascii="Times New Roman" w:hAnsi="Times New Roman"/>
          <w:b w:val="0"/>
          <w:i w:val="0"/>
          <w:sz w:val="22"/>
        </w:rPr>
        <w:t xml:space="preserve">　EKF 各倍率精度（待 PC 原型／STM32 移植後實測填入）</w:t>
      </w:r>
    </w:p>
    <w:p>
      <w:pPr>
        <w:spacing w:lineRule="atLeast" w:line="480"/>
        <w:ind w:firstLine="480"/>
        <w:jc w:val="both"/>
      </w:pPr>
      <w:r>
        <w:rPr>
          <w:rFonts w:eastAsia="標楷體" w:ascii="Times New Roman" w:hAnsi="Times New Roman"/>
          <w:b/>
          <w:i w:val="0"/>
          <w:sz w:val="24"/>
        </w:rPr>
        <w:t>初值錯誤收斂</w:t>
      </w:r>
      <w:r>
        <w:rPr>
          <w:rFonts w:eastAsia="標楷體" w:ascii="Times New Roman" w:hAnsi="Times New Roman"/>
          <w:b w:val="0"/>
          <w:i w:val="0"/>
          <w:sz w:val="24"/>
        </w:rPr>
        <w:t xml:space="preserve">：刻意以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 80%</w:t>
      </w:r>
      <w:r>
        <w:rPr>
          <w:rFonts w:eastAsia="標楷體" w:ascii="Times New Roman" w:hAnsi="Times New Roman"/>
          <w:b w:val="0"/>
          <w:i w:val="0"/>
          <w:sz w:val="24"/>
        </w:rPr>
        <w:t xml:space="preserve">（真值 100%）起步，觀察誤差收斂軌跡與 </w:t>
      </w:r>
      <w:r>
        <w:rPr>
          <w:rFonts w:eastAsia="標楷體" w:ascii="Times New Roman" w:hAnsi="Times New Roman"/>
          <w:b w:val="0"/>
          <w:i w:val="0"/>
          <w:sz w:val="24"/>
        </w:rPr>
        <w:t xml:space="preserve">t</w:t>
      </w:r>
      <w:r>
        <w:rPr>
          <w:rFonts w:eastAsia="標楷體" w:ascii="Times New Roman" w:hAnsi="Times New Roman"/>
          <w:b w:val="0"/>
          <w:i w:val="0"/>
          <w:sz w:val="24"/>
          <w:vertAlign w:val="subscript"/>
        </w:rPr>
        <w:t xml:space="preserve">conv</w:t>
      </w:r>
      <w:r>
        <w:rPr>
          <w:rFonts w:eastAsia="標楷體" w:ascii="Times New Roman" w:hAnsi="Times New Roman"/>
          <w:b w:val="0"/>
          <w:i w:val="0"/>
          <w:sz w:val="24"/>
        </w:rPr>
        <w:t>，驗證 EKF 相對庫倫計數之核心優勢。</w:t>
      </w:r>
      <w:r>
        <w:rPr>
          <w:rFonts w:eastAsia="標楷體" w:ascii="Consolas" w:hAnsi="Consolas"/>
          <w:b w:val="0"/>
          <w:i w:val="0"/>
          <w:sz w:val="21"/>
        </w:rPr>
        <w:t>[待測]</w:t>
      </w:r>
      <w:r>
        <w:rPr>
          <w:rFonts w:eastAsia="標楷體" w:ascii="Times New Roman" w:hAnsi="Times New Roman"/>
          <w:b w:val="0"/>
          <w:i w:val="0"/>
          <w:sz w:val="24"/>
        </w:rPr>
        <w:t xml:space="preserve"> 收斂曲線與時間。</w:t>
      </w:r>
    </w:p>
    <w:p>
      <w:pPr>
        <w:spacing w:before="240" w:after="120" w:lineRule="atLeast" w:line="360"/>
        <w:jc w:val="left"/>
      </w:pPr>
      <w:r>
        <w:rPr>
          <w:rFonts w:eastAsia="標楷體" w:ascii="Times New Roman" w:hAnsi="Times New Roman"/>
          <w:b/>
          <w:i w:val="0"/>
          <w:sz w:val="28"/>
        </w:rPr>
        <w:t>4.3 動態阻抗法</w:t>
      </w:r>
    </w:p>
    <w:p>
      <w:pPr>
        <w:spacing w:lineRule="atLeast" w:line="320" w:before="40" w:after="40"/>
        <w:ind w:left="360"/>
        <w:jc w:val="left"/>
      </w:pPr>
      <w:r>
        <w:rPr>
          <w:rFonts w:eastAsia="標楷體" w:ascii="Times New Roman" w:hAnsi="Times New Roman"/>
          <w:b w:val="0"/>
          <w:i/>
          <w:color w:val="606060"/>
          <w:sz w:val="21"/>
        </w:rPr>
        <w:t>本節原理、演算法與嵌入式實作為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；4.3.4 之 </w:t>
      </w:r>
      <w:r>
        <w:rPr>
          <w:rFonts w:eastAsia="標楷體" w:ascii="Times New Roman" w:hAnsi="Times New Roman"/>
          <w:b w:val="0"/>
          <w:i/>
          <w:color w:val="606060"/>
          <w:sz w:val="21"/>
        </w:rPr>
        <w:t>Δ V/Δ I</w:t>
      </w:r>
      <w:r>
        <w:rPr>
          <w:rFonts w:eastAsia="標楷體" w:ascii="Times New Roman" w:hAnsi="Times New Roman"/>
          <w:b w:val="0"/>
          <w:i/>
          <w:color w:val="606060"/>
          <w:sz w:val="21"/>
        </w:rPr>
        <w:t>–SOC 二次擬合係數與「以擬合反推 SOC 之逐點精度」</w:t>
      </w:r>
      <w:r>
        <w:rPr>
          <w:rFonts w:eastAsia="標楷體" w:ascii="Times New Roman" w:hAnsi="Times New Roman"/>
          <w:b/>
          <w:i/>
          <w:color w:val="606060"/>
          <w:sz w:val="21"/>
        </w:rPr>
        <w:t>均已由既有擾動數據實測算出</w:t>
      </w:r>
      <w:r>
        <w:rPr>
          <w:rFonts w:eastAsia="標楷體" w:ascii="Times New Roman" w:hAnsi="Times New Roman"/>
          <w:b w:val="0"/>
          <w:i/>
          <w:color w:val="606060"/>
          <w:sz w:val="21"/>
        </w:rPr>
        <w:t>（fresh-cell rounds 1–3，各倍率反推 RMSE 約 6～10%）；僅韌體移植與三方法整體比較待後續。</w:t>
      </w:r>
    </w:p>
    <w:p>
      <w:pPr>
        <w:spacing w:before="160" w:after="80" w:lineRule="atLeast" w:line="360"/>
        <w:jc w:val="left"/>
      </w:pPr>
      <w:r>
        <w:rPr>
          <w:rFonts w:eastAsia="標楷體" w:ascii="Times New Roman" w:hAnsi="Times New Roman"/>
          <w:b/>
          <w:i w:val="0"/>
          <w:sz w:val="26"/>
        </w:rPr>
        <w:t>4.3.1 原理</w:t>
      </w:r>
    </w:p>
    <w:p>
      <w:pPr>
        <w:spacing w:lineRule="atLeast" w:line="480"/>
        <w:ind w:firstLine="480"/>
        <w:jc w:val="both"/>
      </w:pPr>
      <w:r>
        <w:rPr>
          <w:rFonts w:eastAsia="標楷體" w:ascii="Times New Roman" w:hAnsi="Times New Roman"/>
          <w:b w:val="0"/>
          <w:i w:val="0"/>
          <w:sz w:val="24"/>
        </w:rPr>
        <w:t>動態阻抗法 [1] 避開「需初始值」與「需長時間靜置」兩大限制，改以電池工作中端電壓對電流的瞬時變化率推估 SOC。定義動態阻抗為相鄰擾動兩點之電壓差比電流差：</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 xml:space="preserve">該文獻關鍵發現為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與 SOC 呈近似拋物線關係，可二次擬合（第二章 2.2.4 節）：</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物理上，電池於接近滿電與接近放空時動態阻抗較高、</w:t>
      </w:r>
      <w:r>
        <w:rPr>
          <w:rFonts w:eastAsia="標楷體" w:ascii="Times New Roman" w:hAnsi="Times New Roman"/>
          <w:b w:val="0"/>
          <w:i w:val="0"/>
          <w:sz w:val="24"/>
        </w:rPr>
        <w:t>SOC ≈ 50%</w:t>
      </w:r>
      <w:r>
        <w:rPr>
          <w:rFonts w:eastAsia="標楷體" w:ascii="Times New Roman" w:hAnsi="Times New Roman"/>
          <w:b w:val="0"/>
          <w:i w:val="0"/>
          <w:sz w:val="24"/>
        </w:rPr>
        <w:t xml:space="preserve"> 附近最小。因拋物線對稱，單一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對應兩個可能 SOC，須以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 SOC 之變化率正負判別位於曲線哪一側以取唯一解 [1]。</w:t>
      </w:r>
    </w:p>
    <w:p>
      <w:pPr>
        <w:spacing w:before="160" w:after="80" w:lineRule="atLeast" w:line="360"/>
        <w:jc w:val="left"/>
      </w:pPr>
      <w:r>
        <w:rPr>
          <w:rFonts w:eastAsia="標楷體" w:ascii="Times New Roman" w:hAnsi="Times New Roman"/>
          <w:b/>
          <w:i w:val="0"/>
          <w:sz w:val="26"/>
        </w:rPr>
        <w:t>4.3.2 擾動數據來源（與第三章協定耦合）</w:t>
      </w:r>
    </w:p>
    <w:p>
      <w:pPr>
        <w:spacing w:lineRule="atLeast" w:line="480"/>
        <w:ind w:firstLine="480"/>
        <w:jc w:val="both"/>
      </w:pPr>
      <w:r>
        <w:rPr>
          <w:rFonts w:eastAsia="標楷體" w:ascii="Times New Roman" w:hAnsi="Times New Roman"/>
          <w:b w:val="0"/>
          <w:i w:val="0"/>
          <w:sz w:val="24"/>
        </w:rPr>
        <w:t xml:space="preserve">本研究的跨輪測試協定已對四種放電 C-rate 注入 dV/dI 擾動：每 60 s 由基礎倍率短暫步降至 0.2C、dwell 1 s 後步回（第三章 3.5 節）。取步降前後兩穩態樣本即得該 SOC 下之 </w:t>
      </w:r>
      <w:r>
        <w:rPr>
          <w:rFonts w:eastAsia="標楷體" w:ascii="Times New Roman" w:hAnsi="Times New Roman"/>
          <w:b w:val="0"/>
          <w:i w:val="0"/>
          <w:sz w:val="24"/>
        </w:rPr>
        <w:t>Δ V/Δ I</w:t>
      </w:r>
      <w:r>
        <w:rPr>
          <w:rFonts w:eastAsia="標楷體" w:ascii="Times New Roman" w:hAnsi="Times New Roman"/>
          <w:b w:val="0"/>
          <w:i w:val="0"/>
          <w:sz w:val="24"/>
        </w:rPr>
        <w:t>。由於庫倫計數提供逐秒 SOC，每個擾動事件可標記其發生時的 SOC，從而對「</w:t>
      </w:r>
      <w:r>
        <w:rPr>
          <w:rFonts w:eastAsia="標楷體" w:ascii="Times New Roman" w:hAnsi="Times New Roman"/>
          <w:b w:val="0"/>
          <w:i w:val="0"/>
          <w:sz w:val="24"/>
        </w:rPr>
        <w:t>Δ V/Δ I</w:t>
      </w:r>
      <w:r>
        <w:rPr>
          <w:rFonts w:eastAsia="標楷體" w:ascii="Times New Roman" w:hAnsi="Times New Roman"/>
          <w:b w:val="0"/>
          <w:i w:val="0"/>
          <w:sz w:val="24"/>
        </w:rPr>
        <w:t xml:space="preserve"> vs SOC」累積散點。基礎倍率越高、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訊噪比越好，故四種倍率全數注入擾動——高倍率數據對拋物線擬合尤為有利。</w:t>
      </w:r>
    </w:p>
    <w:p>
      <w:pPr>
        <w:spacing w:lineRule="atLeast" w:line="480"/>
        <w:ind w:firstLine="480"/>
        <w:jc w:val="both"/>
      </w:pPr>
      <w:r>
        <w:rPr>
          <w:rFonts w:eastAsia="標楷體" w:ascii="Times New Roman" w:hAnsi="Times New Roman"/>
          <w:b w:val="0"/>
          <w:i w:val="0"/>
          <w:sz w:val="24"/>
        </w:rPr>
        <w:t>此設計使動態阻抗法</w:t>
      </w:r>
      <w:r>
        <w:rPr>
          <w:rFonts w:eastAsia="標楷體" w:ascii="Times New Roman" w:hAnsi="Times New Roman"/>
          <w:b/>
          <w:i w:val="0"/>
          <w:sz w:val="24"/>
        </w:rPr>
        <w:t>無須額外實驗</w:t>
      </w:r>
      <w:r>
        <w:rPr>
          <w:rFonts w:eastAsia="標楷體" w:ascii="Times New Roman" w:hAnsi="Times New Roman"/>
          <w:b w:val="0"/>
          <w:i w:val="0"/>
          <w:sz w:val="24"/>
        </w:rPr>
        <w:t>，直接複用 rate-capability 數據中既有的擾動段，是其「嵌入式友善＋實驗成本低」的體現。</w:t>
      </w:r>
    </w:p>
    <w:p>
      <w:pPr>
        <w:spacing w:lineRule="atLeast" w:line="480"/>
        <w:ind w:firstLine="480"/>
        <w:jc w:val="both"/>
      </w:pPr>
      <w:r>
        <w:rPr>
          <w:rFonts w:eastAsia="標楷體" w:ascii="Times New Roman" w:hAnsi="Times New Roman"/>
          <w:b w:val="0"/>
          <w:i w:val="0"/>
          <w:sz w:val="24"/>
        </w:rPr>
        <w:t xml:space="preserve">動態阻抗法分為「離線建表」與「即時估測」兩階段，流程如圖 4-3 所示。離線階段（在電腦上做一次）對每個擾動事件算出 </w:t>
      </w:r>
      <w:r>
        <w:rPr>
          <w:rFonts w:eastAsia="標楷體" w:ascii="Times New Roman" w:hAnsi="Times New Roman"/>
          <w:b w:val="0"/>
          <w:i w:val="0"/>
          <w:sz w:val="24"/>
        </w:rPr>
        <w:t>Δ V/Δ I</w:t>
      </w:r>
      <w:r>
        <w:rPr>
          <w:rFonts w:eastAsia="標楷體" w:ascii="Times New Roman" w:hAnsi="Times New Roman"/>
          <w:b w:val="0"/>
          <w:i w:val="0"/>
          <w:sz w:val="24"/>
        </w:rPr>
        <w:t xml:space="preserve">，並配對該時刻的 SOC，累積散點後擬合二次曲線，得係數 </w:t>
      </w:r>
      <w:r>
        <w:rPr>
          <w:rFonts w:eastAsia="標楷體" w:ascii="Times New Roman" w:hAnsi="Times New Roman"/>
          <w:b w:val="0"/>
          <w:i w:val="0"/>
          <w:sz w:val="24"/>
        </w:rPr>
        <w:t>a, b, c</w:t>
      </w:r>
      <w:r>
        <w:rPr>
          <w:rFonts w:eastAsia="標楷體" w:ascii="Times New Roman" w:hAnsi="Times New Roman"/>
          <w:b w:val="0"/>
          <w:i w:val="0"/>
          <w:sz w:val="24"/>
        </w:rPr>
        <w:t xml:space="preserve">，存入晶片。即時階段（晶片上）於每次偵測到擾動事件時量得 </w:t>
      </w:r>
      <w:r>
        <w:rPr>
          <w:rFonts w:eastAsia="標楷體" w:ascii="Times New Roman" w:hAnsi="Times New Roman"/>
          <w:b w:val="0"/>
          <w:i w:val="0"/>
          <w:sz w:val="24"/>
        </w:rPr>
        <w:t>Δ V/Δ I</w:t>
      </w:r>
      <w:r>
        <w:rPr>
          <w:rFonts w:eastAsia="標楷體" w:ascii="Times New Roman" w:hAnsi="Times New Roman"/>
          <w:b w:val="0"/>
          <w:i w:val="0"/>
          <w:sz w:val="24"/>
        </w:rPr>
        <w:t>，代入二次式求解，再依曲線位置挑出唯一解。</w:t>
      </w:r>
    </w:p>
    <w:p>
      <w:pPr>
        <w:spacing w:before="120" w:after="40"/>
        <w:jc w:val="center"/>
      </w:pPr>
      <w:r>
        <w:drawing>
          <wp:inline xmlns:a="http://schemas.openxmlformats.org/drawingml/2006/main" xmlns:pic="http://schemas.openxmlformats.org/drawingml/2006/picture">
            <wp:extent cx="4837851" cy="6480000"/>
            <wp:docPr id="5" name="Picture 5"/>
            <wp:cNvGraphicFramePr>
              <a:graphicFrameLocks noChangeAspect="1"/>
            </wp:cNvGraphicFramePr>
            <a:graphic>
              <a:graphicData uri="http://schemas.openxmlformats.org/drawingml/2006/picture">
                <pic:pic>
                  <pic:nvPicPr>
                    <pic:cNvPr id="0" name="fig4-3.png"/>
                    <pic:cNvPicPr/>
                  </pic:nvPicPr>
                  <pic:blipFill>
                    <a:blip r:embed="rId16"/>
                    <a:stretch>
                      <a:fillRect/>
                    </a:stretch>
                  </pic:blipFill>
                  <pic:spPr>
                    <a:xfrm>
                      <a:off x="0" y="0"/>
                      <a:ext cx="4837851" cy="648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4-3</w:t>
      </w:r>
      <w:r>
        <w:rPr>
          <w:rFonts w:eastAsia="標楷體" w:ascii="Times New Roman" w:hAnsi="Times New Roman"/>
          <w:b w:val="0"/>
          <w:i w:val="0"/>
          <w:sz w:val="22"/>
        </w:rPr>
        <w:t xml:space="preserve">　動態阻抗法之離線建表與即時估測流程</w:t>
      </w:r>
    </w:p>
    <w:p>
      <w:pPr>
        <w:spacing w:lineRule="atLeast" w:line="480"/>
        <w:ind w:firstLine="480"/>
        <w:jc w:val="both"/>
      </w:pPr>
      <w:r>
        <w:rPr>
          <w:rFonts w:eastAsia="標楷體" w:ascii="Times New Roman" w:hAnsi="Times New Roman"/>
          <w:b w:val="0"/>
          <w:i w:val="0"/>
          <w:sz w:val="24"/>
        </w:rPr>
        <w:t>需注意動態阻抗法</w:t>
      </w:r>
      <w:r>
        <w:rPr>
          <w:rFonts w:eastAsia="標楷體" w:ascii="Times New Roman" w:hAnsi="Times New Roman"/>
          <w:b/>
          <w:i w:val="0"/>
          <w:sz w:val="24"/>
        </w:rPr>
        <w:t>僅在擾動事件發生時</w:t>
      </w:r>
      <w:r>
        <w:rPr>
          <w:rFonts w:eastAsia="標楷體" w:ascii="Times New Roman" w:hAnsi="Times New Roman"/>
          <w:b w:val="0"/>
          <w:i w:val="0"/>
          <w:sz w:val="24"/>
        </w:rPr>
        <w:t>產生獨立估測（本協定為每 60 s 一次），事件之間若需連續 SOC，實務上以庫倫計數內插。故嚴格而言本法在本平台為「動態阻抗離散校正 + 庫倫內插」的混合形態，4.4 比較時將如實標註此特性。</w:t>
      </w:r>
    </w:p>
    <w:p>
      <w:pPr>
        <w:spacing w:before="160" w:after="80" w:lineRule="atLeast" w:line="360"/>
        <w:jc w:val="left"/>
      </w:pPr>
      <w:r>
        <w:rPr>
          <w:rFonts w:eastAsia="標楷體" w:ascii="Times New Roman" w:hAnsi="Times New Roman"/>
          <w:b/>
          <w:i w:val="0"/>
          <w:sz w:val="26"/>
        </w:rPr>
        <w:t>4.3.4 嵌入式實作與實驗結果</w:t>
      </w:r>
    </w:p>
    <w:p>
      <w:pPr>
        <w:spacing w:lineRule="atLeast" w:line="480"/>
        <w:ind w:firstLine="480"/>
        <w:jc w:val="both"/>
      </w:pPr>
      <w:r>
        <w:rPr>
          <w:rFonts w:eastAsia="標楷體" w:ascii="Times New Roman" w:hAnsi="Times New Roman"/>
          <w:b/>
          <w:i w:val="0"/>
          <w:sz w:val="24"/>
        </w:rPr>
        <w:t>嵌入式實作</w:t>
      </w:r>
      <w:r>
        <w:rPr>
          <w:rFonts w:eastAsia="標楷體" w:ascii="Times New Roman" w:hAnsi="Times New Roman"/>
          <w:b w:val="0"/>
          <w:i w:val="0"/>
          <w:sz w:val="24"/>
        </w:rPr>
        <w:t>：晶片上只需存放擬合得到的幾個係數，偵測到電流擾動時，做一次簡單的差分求出當下的動態阻抗，再解一個二次方程即可得到 SOC。整個過程不需要查開路電壓表、也不需要矩陣運算，運算量介於庫倫計數與 EKF 之間，是三種方法中兼顧「即時、輕量、無須初始值」的代表。</w:t>
      </w:r>
    </w:p>
    <w:p>
      <w:pPr>
        <w:spacing w:lineRule="atLeast" w:line="480"/>
        <w:ind w:firstLine="480"/>
        <w:jc w:val="both"/>
      </w:pPr>
      <w:r>
        <w:rPr>
          <w:rFonts w:eastAsia="標楷體" w:ascii="Times New Roman" w:hAnsi="Times New Roman"/>
          <w:b/>
          <w:i w:val="0"/>
          <w:sz w:val="24"/>
        </w:rPr>
        <w:t>實驗結果（實測）</w:t>
      </w:r>
      <w:r>
        <w:rPr>
          <w:rFonts w:eastAsia="標楷體" w:ascii="Times New Roman" w:hAnsi="Times New Roman"/>
          <w:b w:val="0"/>
          <w:i w:val="0"/>
          <w:sz w:val="24"/>
        </w:rPr>
        <w:t xml:space="preserve">：本研究直接複用跨輪測試（fresh-cell baseline，rounds 1–3）放電過程中既有的擾動段，從每個擾動事件算出動態阻抗 </w:t>
      </w:r>
      <w:r>
        <w:rPr>
          <w:rFonts w:eastAsia="標楷體" w:ascii="Times New Roman" w:hAnsi="Times New Roman"/>
          <w:b w:val="0"/>
          <w:i w:val="0"/>
          <w:sz w:val="24"/>
        </w:rPr>
        <w:t>|Δ V/Δ I|</w:t>
      </w:r>
      <w:r>
        <w:rPr>
          <w:rFonts w:eastAsia="標楷體" w:ascii="Times New Roman" w:hAnsi="Times New Roman"/>
          <w:b w:val="0"/>
          <w:i w:val="0"/>
          <w:sz w:val="24"/>
        </w:rPr>
        <w:t>，並配對該時刻的庫倫 SOC，累積散點後擬合二次曲線，結果如圖 4-4 所示。動態阻抗確實隨 SOC 呈拋物線：接近放空與接近滿電時較高、SOC 中段最低，最低點約落在 SOC 53%，與文獻所述「最小值在 50% 附近」一致 [1]。</w:t>
      </w:r>
    </w:p>
    <w:p>
      <w:pPr>
        <w:spacing w:before="120" w:after="40"/>
        <w:jc w:val="center"/>
      </w:pPr>
      <w:r>
        <w:drawing>
          <wp:inline xmlns:a="http://schemas.openxmlformats.org/drawingml/2006/main" xmlns:pic="http://schemas.openxmlformats.org/drawingml/2006/picture">
            <wp:extent cx="4860000" cy="3068929"/>
            <wp:docPr id="6" name="Picture 6"/>
            <wp:cNvGraphicFramePr>
              <a:graphicFrameLocks noChangeAspect="1"/>
            </wp:cNvGraphicFramePr>
            <a:graphic>
              <a:graphicData uri="http://schemas.openxmlformats.org/drawingml/2006/picture">
                <pic:pic>
                  <pic:nvPicPr>
                    <pic:cNvPr id="0" name="fig4-4.png"/>
                    <pic:cNvPicPr/>
                  </pic:nvPicPr>
                  <pic:blipFill>
                    <a:blip r:embed="rId17"/>
                    <a:stretch>
                      <a:fillRect/>
                    </a:stretch>
                  </pic:blipFill>
                  <pic:spPr>
                    <a:xfrm>
                      <a:off x="0" y="0"/>
                      <a:ext cx="4860000" cy="3068929"/>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4-4</w:t>
      </w:r>
      <w:r>
        <w:rPr>
          <w:rFonts w:eastAsia="標楷體" w:ascii="Times New Roman" w:hAnsi="Times New Roman"/>
          <w:b w:val="0"/>
          <w:i w:val="0"/>
          <w:sz w:val="22"/>
        </w:rPr>
        <w:t xml:space="preserve">　動態阻抗 </w:t>
      </w:r>
      <w:r>
        <w:rPr>
          <w:rFonts w:eastAsia="標楷體" w:ascii="Times New Roman" w:hAnsi="Times New Roman"/>
          <w:b w:val="0"/>
          <w:i w:val="0"/>
          <w:sz w:val="22"/>
        </w:rPr>
        <w:t>$|\Delta V/\Delta I|$</w:t>
      </w:r>
      <w:r>
        <w:rPr>
          <w:rFonts w:eastAsia="標楷體" w:ascii="Times New Roman" w:hAnsi="Times New Roman"/>
          <w:b w:val="0"/>
          <w:i w:val="0"/>
          <w:sz w:val="22"/>
        </w:rPr>
        <w:t xml:space="preserve"> 隨 SOC 之實測散點與二次擬合（fresh-cell rounds 1–3，四種放電倍率）</w:t>
      </w:r>
    </w:p>
    <w:p>
      <w:pPr>
        <w:spacing w:lineRule="atLeast" w:line="480"/>
        <w:ind w:firstLine="480"/>
        <w:jc w:val="both"/>
      </w:pPr>
      <w:r>
        <w:rPr>
          <w:rFonts w:eastAsia="標楷體" w:ascii="Times New Roman" w:hAnsi="Times New Roman"/>
          <w:b w:val="0"/>
          <w:i w:val="0"/>
          <w:sz w:val="24"/>
        </w:rPr>
        <w:t>各放電倍率分別擬合之係數整理如表 4-3。一項重要觀察是：低倍率（0.5C）因擾動的電流變化量小、訊噪比較差，散點較分散、擬合殘差較大（約 3.5 mΩ）；倍率越高，散點越乾淨、擬合殘差降至 0.5～0.6 mΩ——這正印證了第三章「對所有放電倍率注入擾動、且高倍率資料對擬合更有利」的設計考量。四種倍率與合併擬合所得之最低點 SOC 皆落在約 43～57%、平均約 53%，與理論預期相符。</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6"/>
        <w:gridCol w:w="1313"/>
        <w:gridCol w:w="1313"/>
        <w:gridCol w:w="1313"/>
        <w:gridCol w:w="1075"/>
        <w:gridCol w:w="1075"/>
        <w:gridCol w:w="1795"/>
      </w:tblGrid>
      <w:tr>
        <w:tc>
          <w:tcPr>
            <w:tcW w:type="dxa" w:w="716"/>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a</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b</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c</w:t>
            </w:r>
            <w:r>
              <w:rPr>
                <w:rFonts w:eastAsia="標楷體" w:ascii="Times New Roman" w:hAnsi="Times New Roman"/>
                <w:b/>
                <w:i w:val="0"/>
                <w:sz w:val="21"/>
              </w:rPr>
              <w:t xml:space="preserve"> (mΩ)</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最低點 SOC</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擬合殘差 (mΩ)</w:t>
            </w:r>
          </w:p>
        </w:tc>
        <w:tc>
          <w:tcPr>
            <w:tcW w:type="dxa" w:w="1795"/>
            <w:shd w:val="clear" w:color="auto" w:fill="D9E2F3"/>
            <w:vAlign w:val="center"/>
          </w:tcPr>
          <w:p>
            <w:pPr>
              <w:spacing w:before="20" w:after="20" w:lineRule="atLeast" w:line="280"/>
              <w:jc w:val="center"/>
            </w:pPr>
            <w:r>
              <w:rPr>
                <w:rFonts w:eastAsia="標楷體" w:ascii="Times New Roman" w:hAnsi="Times New Roman"/>
                <w:b/>
                <w:i w:val="0"/>
                <w:sz w:val="21"/>
              </w:rPr>
              <w:t>反推 SOC RMSE (%)</w:t>
            </w:r>
          </w:p>
        </w:tc>
      </w:tr>
      <w:tr>
        <w:tc>
          <w:tcPr>
            <w:tcW w:type="dxa" w:w="716"/>
            <w:vAlign w:val="center"/>
          </w:tcPr>
          <w:p>
            <w:pPr>
              <w:spacing w:before="20" w:after="20" w:lineRule="atLeast" w:line="280"/>
              <w:jc w:val="center"/>
            </w:pPr>
            <w:r>
              <w:rPr>
                <w:rFonts w:eastAsia="標楷體" w:ascii="Times New Roman" w:hAnsi="Times New Roman"/>
                <w:b w:val="0"/>
                <w:i w:val="0"/>
                <w:sz w:val="21"/>
              </w:rPr>
              <w:t>0.5C</w:t>
            </w:r>
          </w:p>
        </w:tc>
        <w:tc>
          <w:tcPr>
            <w:tcW w:type="dxa" w:w="1313"/>
            <w:vAlign w:val="center"/>
          </w:tcPr>
          <w:p>
            <w:pPr>
              <w:spacing w:before="20" w:after="20" w:lineRule="atLeast" w:line="280"/>
              <w:jc w:val="right"/>
            </w:pPr>
            <w:r>
              <w:rPr>
                <w:rFonts w:eastAsia="標楷體" w:ascii="Times New Roman" w:hAnsi="Times New Roman"/>
                <w:b w:val="0"/>
                <w:i w:val="0"/>
                <w:sz w:val="21"/>
              </w:rPr>
              <w:t>24.5</w:t>
            </w:r>
          </w:p>
        </w:tc>
        <w:tc>
          <w:tcPr>
            <w:tcW w:type="dxa" w:w="1313"/>
            <w:vAlign w:val="center"/>
          </w:tcPr>
          <w:p>
            <w:pPr>
              <w:spacing w:before="20" w:after="20" w:lineRule="atLeast" w:line="280"/>
              <w:jc w:val="right"/>
            </w:pPr>
            <w:r>
              <w:rPr>
                <w:rFonts w:eastAsia="標楷體" w:ascii="Times New Roman" w:hAnsi="Times New Roman"/>
                <w:b w:val="0"/>
                <w:i w:val="0"/>
                <w:sz w:val="21"/>
              </w:rPr>
              <w:t>−27.9</w:t>
            </w:r>
          </w:p>
        </w:tc>
        <w:tc>
          <w:tcPr>
            <w:tcW w:type="dxa" w:w="1313"/>
            <w:vAlign w:val="center"/>
          </w:tcPr>
          <w:p>
            <w:pPr>
              <w:spacing w:before="20" w:after="20" w:lineRule="atLeast" w:line="280"/>
              <w:jc w:val="right"/>
            </w:pPr>
            <w:r>
              <w:rPr>
                <w:rFonts w:eastAsia="標楷體" w:ascii="Times New Roman" w:hAnsi="Times New Roman"/>
                <w:b w:val="0"/>
                <w:i w:val="0"/>
                <w:sz w:val="21"/>
              </w:rPr>
              <w:t>66.6</w:t>
            </w:r>
          </w:p>
        </w:tc>
        <w:tc>
          <w:tcPr>
            <w:tcW w:type="dxa" w:w="1075"/>
            <w:vAlign w:val="center"/>
          </w:tcPr>
          <w:p>
            <w:pPr>
              <w:spacing w:before="20" w:after="20" w:lineRule="atLeast" w:line="280"/>
              <w:jc w:val="right"/>
            </w:pPr>
            <w:r>
              <w:rPr>
                <w:rFonts w:eastAsia="標楷體" w:ascii="Times New Roman" w:hAnsi="Times New Roman"/>
                <w:b w:val="0"/>
                <w:i w:val="0"/>
                <w:sz w:val="21"/>
              </w:rPr>
              <w:t>56.9%</w:t>
            </w:r>
          </w:p>
        </w:tc>
        <w:tc>
          <w:tcPr>
            <w:tcW w:type="dxa" w:w="1075"/>
            <w:vAlign w:val="center"/>
          </w:tcPr>
          <w:p>
            <w:pPr>
              <w:spacing w:before="20" w:after="20" w:lineRule="atLeast" w:line="280"/>
              <w:jc w:val="right"/>
            </w:pPr>
            <w:r>
              <w:rPr>
                <w:rFonts w:eastAsia="標楷體" w:ascii="Times New Roman" w:hAnsi="Times New Roman"/>
                <w:b w:val="0"/>
                <w:i w:val="0"/>
                <w:sz w:val="21"/>
              </w:rPr>
              <w:t>3.54</w:t>
            </w:r>
          </w:p>
        </w:tc>
        <w:tc>
          <w:tcPr>
            <w:tcW w:type="dxa" w:w="1795"/>
            <w:vAlign w:val="center"/>
          </w:tcPr>
          <w:p>
            <w:pPr>
              <w:spacing w:before="20" w:after="20" w:lineRule="atLeast" w:line="280"/>
              <w:jc w:val="right"/>
            </w:pPr>
            <w:r>
              <w:rPr>
                <w:rFonts w:eastAsia="標楷體" w:ascii="Times New Roman" w:hAnsi="Times New Roman"/>
                <w:b w:val="0"/>
                <w:i w:val="0"/>
                <w:sz w:val="21"/>
              </w:rPr>
              <w:t>9.7</w:t>
            </w:r>
          </w:p>
        </w:tc>
      </w:tr>
      <w:tr>
        <w:tc>
          <w:tcPr>
            <w:tcW w:type="dxa" w:w="716"/>
            <w:vAlign w:val="center"/>
          </w:tcPr>
          <w:p>
            <w:pPr>
              <w:spacing w:before="20" w:after="20" w:lineRule="atLeast" w:line="280"/>
              <w:jc w:val="center"/>
            </w:pPr>
            <w:r>
              <w:rPr>
                <w:rFonts w:eastAsia="標楷體" w:ascii="Times New Roman" w:hAnsi="Times New Roman"/>
                <w:b w:val="0"/>
                <w:i w:val="0"/>
                <w:sz w:val="21"/>
              </w:rPr>
              <w:t>1.0C</w:t>
            </w:r>
          </w:p>
        </w:tc>
        <w:tc>
          <w:tcPr>
            <w:tcW w:type="dxa" w:w="1313"/>
            <w:vAlign w:val="center"/>
          </w:tcPr>
          <w:p>
            <w:pPr>
              <w:spacing w:before="20" w:after="20" w:lineRule="atLeast" w:line="280"/>
              <w:jc w:val="right"/>
            </w:pPr>
            <w:r>
              <w:rPr>
                <w:rFonts w:eastAsia="標楷體" w:ascii="Times New Roman" w:hAnsi="Times New Roman"/>
                <w:b w:val="0"/>
                <w:i w:val="0"/>
                <w:sz w:val="21"/>
              </w:rPr>
              <w:t>14.9</w:t>
            </w:r>
          </w:p>
        </w:tc>
        <w:tc>
          <w:tcPr>
            <w:tcW w:type="dxa" w:w="1313"/>
            <w:vAlign w:val="center"/>
          </w:tcPr>
          <w:p>
            <w:pPr>
              <w:spacing w:before="20" w:after="20" w:lineRule="atLeast" w:line="280"/>
              <w:jc w:val="right"/>
            </w:pPr>
            <w:r>
              <w:rPr>
                <w:rFonts w:eastAsia="標楷體" w:ascii="Times New Roman" w:hAnsi="Times New Roman"/>
                <w:b w:val="0"/>
                <w:i w:val="0"/>
                <w:sz w:val="21"/>
              </w:rPr>
              <w:t>−15.4</w:t>
            </w:r>
          </w:p>
        </w:tc>
        <w:tc>
          <w:tcPr>
            <w:tcW w:type="dxa" w:w="1313"/>
            <w:vAlign w:val="center"/>
          </w:tcPr>
          <w:p>
            <w:pPr>
              <w:spacing w:before="20" w:after="20" w:lineRule="atLeast" w:line="280"/>
              <w:jc w:val="right"/>
            </w:pPr>
            <w:r>
              <w:rPr>
                <w:rFonts w:eastAsia="標楷體" w:ascii="Times New Roman" w:hAnsi="Times New Roman"/>
                <w:b w:val="0"/>
                <w:i w:val="0"/>
                <w:sz w:val="21"/>
              </w:rPr>
              <w:t>61.8</w:t>
            </w:r>
          </w:p>
        </w:tc>
        <w:tc>
          <w:tcPr>
            <w:tcW w:type="dxa" w:w="1075"/>
            <w:vAlign w:val="center"/>
          </w:tcPr>
          <w:p>
            <w:pPr>
              <w:spacing w:before="20" w:after="20" w:lineRule="atLeast" w:line="280"/>
              <w:jc w:val="right"/>
            </w:pPr>
            <w:r>
              <w:rPr>
                <w:rFonts w:eastAsia="標楷體" w:ascii="Times New Roman" w:hAnsi="Times New Roman"/>
                <w:b w:val="0"/>
                <w:i w:val="0"/>
                <w:sz w:val="21"/>
              </w:rPr>
              <w:t>51.7%</w:t>
            </w:r>
          </w:p>
        </w:tc>
        <w:tc>
          <w:tcPr>
            <w:tcW w:type="dxa" w:w="1075"/>
            <w:vAlign w:val="center"/>
          </w:tcPr>
          <w:p>
            <w:pPr>
              <w:spacing w:before="20" w:after="20" w:lineRule="atLeast" w:line="280"/>
              <w:jc w:val="right"/>
            </w:pPr>
            <w:r>
              <w:rPr>
                <w:rFonts w:eastAsia="標楷體" w:ascii="Times New Roman" w:hAnsi="Times New Roman"/>
                <w:b w:val="0"/>
                <w:i w:val="0"/>
                <w:sz w:val="21"/>
              </w:rPr>
              <w:t>0.62</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1.5C</w:t>
            </w:r>
          </w:p>
        </w:tc>
        <w:tc>
          <w:tcPr>
            <w:tcW w:type="dxa" w:w="1313"/>
            <w:vAlign w:val="center"/>
          </w:tcPr>
          <w:p>
            <w:pPr>
              <w:spacing w:before="20" w:after="20" w:lineRule="atLeast" w:line="280"/>
              <w:jc w:val="right"/>
            </w:pPr>
            <w:r>
              <w:rPr>
                <w:rFonts w:eastAsia="標楷體" w:ascii="Times New Roman" w:hAnsi="Times New Roman"/>
                <w:b w:val="0"/>
                <w:i w:val="0"/>
                <w:sz w:val="21"/>
              </w:rPr>
              <w:t>15.6</w:t>
            </w:r>
          </w:p>
        </w:tc>
        <w:tc>
          <w:tcPr>
            <w:tcW w:type="dxa" w:w="1313"/>
            <w:vAlign w:val="center"/>
          </w:tcPr>
          <w:p>
            <w:pPr>
              <w:spacing w:before="20" w:after="20" w:lineRule="atLeast" w:line="280"/>
              <w:jc w:val="right"/>
            </w:pPr>
            <w:r>
              <w:rPr>
                <w:rFonts w:eastAsia="標楷體" w:ascii="Times New Roman" w:hAnsi="Times New Roman"/>
                <w:b w:val="0"/>
                <w:i w:val="0"/>
                <w:sz w:val="21"/>
              </w:rPr>
              <w:t>−14.6</w:t>
            </w:r>
          </w:p>
        </w:tc>
        <w:tc>
          <w:tcPr>
            <w:tcW w:type="dxa" w:w="1313"/>
            <w:vAlign w:val="center"/>
          </w:tcPr>
          <w:p>
            <w:pPr>
              <w:spacing w:before="20" w:after="20" w:lineRule="atLeast" w:line="280"/>
              <w:jc w:val="right"/>
            </w:pPr>
            <w:r>
              <w:rPr>
                <w:rFonts w:eastAsia="標楷體" w:ascii="Times New Roman" w:hAnsi="Times New Roman"/>
                <w:b w:val="0"/>
                <w:i w:val="0"/>
                <w:sz w:val="21"/>
              </w:rPr>
              <w:t>60.3</w:t>
            </w:r>
          </w:p>
        </w:tc>
        <w:tc>
          <w:tcPr>
            <w:tcW w:type="dxa" w:w="1075"/>
            <w:vAlign w:val="center"/>
          </w:tcPr>
          <w:p>
            <w:pPr>
              <w:spacing w:before="20" w:after="20" w:lineRule="atLeast" w:line="280"/>
              <w:jc w:val="right"/>
            </w:pPr>
            <w:r>
              <w:rPr>
                <w:rFonts w:eastAsia="標楷體" w:ascii="Times New Roman" w:hAnsi="Times New Roman"/>
                <w:b w:val="0"/>
                <w:i w:val="0"/>
                <w:sz w:val="21"/>
              </w:rPr>
              <w:t>46.9%</w:t>
            </w:r>
          </w:p>
        </w:tc>
        <w:tc>
          <w:tcPr>
            <w:tcW w:type="dxa" w:w="1075"/>
            <w:vAlign w:val="center"/>
          </w:tcPr>
          <w:p>
            <w:pPr>
              <w:spacing w:before="20" w:after="20" w:lineRule="atLeast" w:line="280"/>
              <w:jc w:val="right"/>
            </w:pPr>
            <w:r>
              <w:rPr>
                <w:rFonts w:eastAsia="標楷體" w:ascii="Times New Roman" w:hAnsi="Times New Roman"/>
                <w:b w:val="0"/>
                <w:i w:val="0"/>
                <w:sz w:val="21"/>
              </w:rPr>
              <w:t>0.59</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2.0C</w:t>
            </w:r>
          </w:p>
        </w:tc>
        <w:tc>
          <w:tcPr>
            <w:tcW w:type="dxa" w:w="1313"/>
            <w:vAlign w:val="center"/>
          </w:tcPr>
          <w:p>
            <w:pPr>
              <w:spacing w:before="20" w:after="20" w:lineRule="atLeast" w:line="280"/>
              <w:jc w:val="right"/>
            </w:pPr>
            <w:r>
              <w:rPr>
                <w:rFonts w:eastAsia="標楷體" w:ascii="Times New Roman" w:hAnsi="Times New Roman"/>
                <w:b w:val="0"/>
                <w:i w:val="0"/>
                <w:sz w:val="21"/>
              </w:rPr>
              <w:t>16.2</w:t>
            </w:r>
          </w:p>
        </w:tc>
        <w:tc>
          <w:tcPr>
            <w:tcW w:type="dxa" w:w="1313"/>
            <w:vAlign w:val="center"/>
          </w:tcPr>
          <w:p>
            <w:pPr>
              <w:spacing w:before="20" w:after="20" w:lineRule="atLeast" w:line="280"/>
              <w:jc w:val="right"/>
            </w:pPr>
            <w:r>
              <w:rPr>
                <w:rFonts w:eastAsia="標楷體" w:ascii="Times New Roman" w:hAnsi="Times New Roman"/>
                <w:b w:val="0"/>
                <w:i w:val="0"/>
                <w:sz w:val="21"/>
              </w:rPr>
              <w:t>−14.0</w:t>
            </w:r>
          </w:p>
        </w:tc>
        <w:tc>
          <w:tcPr>
            <w:tcW w:type="dxa" w:w="1313"/>
            <w:vAlign w:val="center"/>
          </w:tcPr>
          <w:p>
            <w:pPr>
              <w:spacing w:before="20" w:after="20" w:lineRule="atLeast" w:line="280"/>
              <w:jc w:val="right"/>
            </w:pPr>
            <w:r>
              <w:rPr>
                <w:rFonts w:eastAsia="標楷體" w:ascii="Times New Roman" w:hAnsi="Times New Roman"/>
                <w:b w:val="0"/>
                <w:i w:val="0"/>
                <w:sz w:val="21"/>
              </w:rPr>
              <w:t>59.0</w:t>
            </w:r>
          </w:p>
        </w:tc>
        <w:tc>
          <w:tcPr>
            <w:tcW w:type="dxa" w:w="1075"/>
            <w:vAlign w:val="center"/>
          </w:tcPr>
          <w:p>
            <w:pPr>
              <w:spacing w:before="20" w:after="20" w:lineRule="atLeast" w:line="280"/>
              <w:jc w:val="right"/>
            </w:pPr>
            <w:r>
              <w:rPr>
                <w:rFonts w:eastAsia="標楷體" w:ascii="Times New Roman" w:hAnsi="Times New Roman"/>
                <w:b w:val="0"/>
                <w:i w:val="0"/>
                <w:sz w:val="21"/>
              </w:rPr>
              <w:t>43.3%</w:t>
            </w:r>
          </w:p>
        </w:tc>
        <w:tc>
          <w:tcPr>
            <w:tcW w:type="dxa" w:w="1075"/>
            <w:vAlign w:val="center"/>
          </w:tcPr>
          <w:p>
            <w:pPr>
              <w:spacing w:before="20" w:after="20" w:lineRule="atLeast" w:line="280"/>
              <w:jc w:val="right"/>
            </w:pPr>
            <w:r>
              <w:rPr>
                <w:rFonts w:eastAsia="標楷體" w:ascii="Times New Roman" w:hAnsi="Times New Roman"/>
                <w:b w:val="0"/>
                <w:i w:val="0"/>
                <w:sz w:val="21"/>
              </w:rPr>
              <w:t>0.52</w:t>
            </w:r>
          </w:p>
        </w:tc>
        <w:tc>
          <w:tcPr>
            <w:tcW w:type="dxa" w:w="1795"/>
            <w:vAlign w:val="center"/>
          </w:tcPr>
          <w:p>
            <w:pPr>
              <w:spacing w:before="20" w:after="20" w:lineRule="atLeast" w:line="280"/>
              <w:jc w:val="right"/>
            </w:pPr>
            <w:r>
              <w:rPr>
                <w:rFonts w:eastAsia="標楷體" w:ascii="Times New Roman" w:hAnsi="Times New Roman"/>
                <w:b w:val="0"/>
                <w:i w:val="0"/>
                <w:sz w:val="21"/>
              </w:rPr>
              <w:t>6.3</w:t>
            </w:r>
          </w:p>
        </w:tc>
      </w:tr>
      <w:tr>
        <w:tc>
          <w:tcPr>
            <w:tcW w:type="dxa" w:w="716"/>
            <w:vAlign w:val="center"/>
          </w:tcPr>
          <w:p>
            <w:pPr>
              <w:spacing w:before="20" w:after="20" w:lineRule="atLeast" w:line="280"/>
              <w:jc w:val="center"/>
            </w:pPr>
            <w:r>
              <w:rPr>
                <w:rFonts w:eastAsia="標楷體" w:ascii="Times New Roman" w:hAnsi="Times New Roman"/>
                <w:b/>
                <w:i w:val="0"/>
                <w:sz w:val="21"/>
              </w:rPr>
              <w:t>合併</w:t>
            </w:r>
          </w:p>
        </w:tc>
        <w:tc>
          <w:tcPr>
            <w:tcW w:type="dxa" w:w="1313"/>
            <w:vAlign w:val="center"/>
          </w:tcPr>
          <w:p>
            <w:pPr>
              <w:spacing w:before="20" w:after="20" w:lineRule="atLeast" w:line="280"/>
              <w:jc w:val="right"/>
            </w:pPr>
            <w:r>
              <w:rPr>
                <w:rFonts w:eastAsia="標楷體" w:ascii="Times New Roman" w:hAnsi="Times New Roman"/>
                <w:b/>
                <w:i w:val="0"/>
                <w:sz w:val="21"/>
              </w:rPr>
              <w:t>20.2</w:t>
            </w:r>
          </w:p>
        </w:tc>
        <w:tc>
          <w:tcPr>
            <w:tcW w:type="dxa" w:w="1313"/>
            <w:vAlign w:val="center"/>
          </w:tcPr>
          <w:p>
            <w:pPr>
              <w:spacing w:before="20" w:after="20" w:lineRule="atLeast" w:line="280"/>
              <w:jc w:val="right"/>
            </w:pPr>
            <w:r>
              <w:rPr>
                <w:rFonts w:eastAsia="標楷體" w:ascii="Times New Roman" w:hAnsi="Times New Roman"/>
                <w:b/>
                <w:i w:val="0"/>
                <w:sz w:val="21"/>
              </w:rPr>
              <w:t>−21.6</w:t>
            </w:r>
          </w:p>
        </w:tc>
        <w:tc>
          <w:tcPr>
            <w:tcW w:type="dxa" w:w="1313"/>
            <w:vAlign w:val="center"/>
          </w:tcPr>
          <w:p>
            <w:pPr>
              <w:spacing w:before="20" w:after="20" w:lineRule="atLeast" w:line="280"/>
              <w:jc w:val="right"/>
            </w:pPr>
            <w:r>
              <w:rPr>
                <w:rFonts w:eastAsia="標楷體" w:ascii="Times New Roman" w:hAnsi="Times New Roman"/>
                <w:b/>
                <w:i w:val="0"/>
                <w:sz w:val="21"/>
              </w:rPr>
              <w:t>63.6</w:t>
            </w:r>
          </w:p>
        </w:tc>
        <w:tc>
          <w:tcPr>
            <w:tcW w:type="dxa" w:w="1075"/>
            <w:vAlign w:val="center"/>
          </w:tcPr>
          <w:p>
            <w:pPr>
              <w:spacing w:before="20" w:after="20" w:lineRule="atLeast" w:line="280"/>
              <w:jc w:val="right"/>
            </w:pPr>
            <w:r>
              <w:rPr>
                <w:rFonts w:eastAsia="標楷體" w:ascii="Times New Roman" w:hAnsi="Times New Roman"/>
                <w:b/>
                <w:i w:val="0"/>
                <w:sz w:val="21"/>
              </w:rPr>
              <w:t>53.4%</w:t>
            </w:r>
          </w:p>
        </w:tc>
        <w:tc>
          <w:tcPr>
            <w:tcW w:type="dxa" w:w="1075"/>
            <w:vAlign w:val="center"/>
          </w:tcPr>
          <w:p>
            <w:pPr>
              <w:spacing w:before="20" w:after="20" w:lineRule="atLeast" w:line="280"/>
              <w:jc w:val="right"/>
            </w:pPr>
            <w:r>
              <w:rPr>
                <w:rFonts w:eastAsia="標楷體" w:ascii="Times New Roman" w:hAnsi="Times New Roman"/>
                <w:b/>
                <w:i w:val="0"/>
                <w:sz w:val="21"/>
              </w:rPr>
              <w:t>2.90</w:t>
            </w:r>
          </w:p>
        </w:tc>
        <w:tc>
          <w:tcPr>
            <w:tcW w:type="dxa" w:w="1795"/>
            <w:vAlign w:val="center"/>
          </w:tcPr>
          <w:p>
            <w:pPr>
              <w:spacing w:before="20" w:after="20" w:lineRule="atLeast" w:line="280"/>
              <w:jc w:val="right"/>
            </w:pPr>
            <w:r>
              <w:rPr>
                <w:rFonts w:eastAsia="標楷體" w:ascii="Times New Roman" w:hAnsi="Times New Roman"/>
                <w:b w:val="0"/>
                <w:i w:val="0"/>
                <w:sz w:val="21"/>
              </w:rPr>
              <w:t>—</w:t>
            </w:r>
          </w:p>
        </w:tc>
      </w:tr>
    </w:tbl>
    <w:p>
      <w:pPr>
        <w:spacing w:before="60" w:after="160" w:lineRule="atLeast" w:line="320"/>
        <w:jc w:val="center"/>
      </w:pPr>
      <w:r>
        <w:rPr>
          <w:rFonts w:eastAsia="標楷體" w:ascii="Times New Roman" w:hAnsi="Times New Roman"/>
          <w:b/>
          <w:i w:val="0"/>
          <w:sz w:val="22"/>
        </w:rPr>
        <w:t>表 4-3</w:t>
      </w:r>
      <w:r>
        <w:rPr>
          <w:rFonts w:eastAsia="標楷體" w:ascii="Times New Roman" w:hAnsi="Times New Roman"/>
          <w:b w:val="0"/>
          <w:i w:val="0"/>
          <w:sz w:val="22"/>
        </w:rPr>
        <w:t xml:space="preserve">　動態阻抗 </w:t>
      </w:r>
      <w:r>
        <w:rPr>
          <w:rFonts w:eastAsia="標楷體" w:ascii="Times New Roman" w:hAnsi="Times New Roman"/>
          <w:b w:val="0"/>
          <w:i w:val="0"/>
          <w:sz w:val="22"/>
        </w:rPr>
        <w:t>$|\Delta V/\Delta I|$</w:t>
      </w:r>
      <w:r>
        <w:rPr>
          <w:rFonts w:eastAsia="標楷體" w:ascii="Times New Roman" w:hAnsi="Times New Roman"/>
          <w:b w:val="0"/>
          <w:i w:val="0"/>
          <w:sz w:val="22"/>
        </w:rPr>
        <w:t>–SOC 二次擬合係數與反推精度（fresh-cell rounds 1–3 實測；阻抗單位 mΩ，SOC 以分數代入；反推 RMSE 為假設分枝正確之逐點誤差）</w:t>
      </w:r>
    </w:p>
    <w:p>
      <w:pPr>
        <w:spacing w:lineRule="atLeast" w:line="480"/>
        <w:ind w:firstLine="480"/>
        <w:jc w:val="both"/>
      </w:pPr>
      <w:r>
        <w:rPr>
          <w:rFonts w:eastAsia="標楷體" w:ascii="Times New Roman" w:hAnsi="Times New Roman"/>
          <w:b/>
          <w:i w:val="0"/>
          <w:sz w:val="24"/>
        </w:rPr>
        <w:t>以擬合反推 SOC 之逐點精度（實測）</w:t>
      </w:r>
      <w:r>
        <w:rPr>
          <w:rFonts w:eastAsia="標楷體" w:ascii="Times New Roman" w:hAnsi="Times New Roman"/>
          <w:b w:val="0"/>
          <w:i w:val="0"/>
          <w:sz w:val="24"/>
        </w:rPr>
        <w:t xml:space="preserve">：將量得的動態阻抗代回二次式解出 SOC（在假設分枝判斷正確的前提下），與庫倫真值逐點比較，各放電倍率的均方根誤差約為 </w:t>
      </w:r>
      <w:r>
        <w:rPr>
          <w:rFonts w:eastAsia="標楷體" w:ascii="Times New Roman" w:hAnsi="Times New Roman"/>
          <w:b/>
          <w:i w:val="0"/>
          <w:sz w:val="24"/>
        </w:rPr>
        <w:t>6～10%</w:t>
      </w:r>
      <w:r>
        <w:rPr>
          <w:rFonts w:eastAsia="標楷體" w:ascii="Times New Roman" w:hAnsi="Times New Roman"/>
          <w:b w:val="0"/>
          <w:i w:val="0"/>
          <w:sz w:val="24"/>
        </w:rPr>
        <w:t>（0.5C 最差、2.0C 最佳，與訊噪比一致，列於表 4-3 末欄）。更關鍵的觀察是其誤差</w:t>
      </w:r>
      <w:r>
        <w:rPr>
          <w:rFonts w:eastAsia="標楷體" w:ascii="Times New Roman" w:hAnsi="Times New Roman"/>
          <w:b/>
          <w:i w:val="0"/>
          <w:sz w:val="24"/>
        </w:rPr>
        <w:t>隨 SOC 高度不均</w:t>
      </w:r>
      <w:r>
        <w:rPr>
          <w:rFonts w:eastAsia="標楷體" w:ascii="Times New Roman" w:hAnsi="Times New Roman"/>
          <w:b w:val="0"/>
          <w:i w:val="0"/>
          <w:sz w:val="24"/>
        </w:rPr>
        <w:t>：SOC 中段（40～60%）誤差明顯較大（約 9～13%），兩端（&lt; 20% 或 &gt; 80%）較小（約 5～9%）。此現象直接源於動態阻抗曲線在中段平緩——最低點附近阻抗對 SOC 幾乎不敏感，使「由阻抗反推 SOC」在中段成為病態問題（微小的阻抗量測誤差被放大成巨大的 SOC 誤差）。以 rounds 1–2 擬合、round 3 留出驗證所得之精度（RMSE 約 7～10%）與上述相當，顯示此結果並非過度擬合，而是方法的固有特性。</w:t>
      </w:r>
    </w:p>
    <w:p>
      <w:pPr>
        <w:spacing w:lineRule="atLeast" w:line="480"/>
        <w:ind w:firstLine="480"/>
        <w:jc w:val="both"/>
      </w:pPr>
      <w:r>
        <w:rPr>
          <w:rFonts w:eastAsia="標楷體" w:ascii="Times New Roman" w:hAnsi="Times New Roman"/>
          <w:b w:val="0"/>
          <w:i w:val="0"/>
          <w:sz w:val="24"/>
        </w:rPr>
        <w:t>此精度水準說明：</w:t>
      </w:r>
      <w:r>
        <w:rPr>
          <w:rFonts w:eastAsia="標楷體" w:ascii="Times New Roman" w:hAnsi="Times New Roman"/>
          <w:b/>
          <w:i w:val="0"/>
          <w:sz w:val="24"/>
        </w:rPr>
        <w:t>單以動態阻抗反推 SOC 不足以獨立提供高解析度估測，尤其在 SOC 中段</w:t>
      </w:r>
      <w:r>
        <w:rPr>
          <w:rFonts w:eastAsia="標楷體" w:ascii="Times New Roman" w:hAnsi="Times New Roman"/>
          <w:b w:val="0"/>
          <w:i w:val="0"/>
          <w:sz w:val="24"/>
        </w:rPr>
        <w:t>。這正當化了 4.3.3 所述之混合策略——以動態阻抗在擾動事件處提供「無須初值」的離散校正，事件之間再由庫倫計數內插以維持連續且高解析度的 SOC。三方法（含 EKF）之整體精度將於 4.4 節在同一框架下比較。</w:t>
      </w:r>
    </w:p>
    <w:p>
      <w:pPr>
        <w:spacing w:before="240" w:after="120" w:lineRule="atLeast" w:line="360"/>
        <w:jc w:val="left"/>
      </w:pPr>
      <w:r>
        <w:rPr>
          <w:rFonts w:eastAsia="標楷體" w:ascii="Times New Roman" w:hAnsi="Times New Roman"/>
          <w:b/>
          <w:i w:val="0"/>
          <w:sz w:val="28"/>
        </w:rPr>
        <w:t>4.4 方法比較</w:t>
      </w:r>
    </w:p>
    <w:p>
      <w:pPr>
        <w:spacing w:lineRule="atLeast" w:line="320" w:before="40" w:after="40"/>
        <w:ind w:left="360"/>
        <w:jc w:val="left"/>
      </w:pPr>
      <w:r>
        <w:rPr>
          <w:rFonts w:eastAsia="標楷體" w:ascii="Times New Roman" w:hAnsi="Times New Roman"/>
          <w:b w:val="0"/>
          <w:i/>
          <w:color w:val="606060"/>
          <w:sz w:val="21"/>
        </w:rPr>
        <w:t>本節為三法之公平比較。比較框架、指標定義與表骨架為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；填入之數值除庫倫計數既有資料外多為 </w:t>
      </w:r>
      <w:r>
        <w:rPr>
          <w:rFonts w:eastAsia="標楷體" w:ascii="Consolas" w:hAnsi="Consolas"/>
          <w:b w:val="0"/>
          <w:i/>
          <w:color w:val="606060"/>
          <w:sz w:val="19"/>
        </w:rPr>
        <w:t>[待測]</w:t>
      </w:r>
      <w:r>
        <w:rPr>
          <w:rFonts w:eastAsia="標楷體" w:ascii="Times New Roman" w:hAnsi="Times New Roman"/>
          <w:b w:val="0"/>
          <w:i/>
          <w:color w:val="606060"/>
          <w:sz w:val="21"/>
        </w:rPr>
        <w:t>，待 4.2／4.3 實驗與 footprint 量測完成後補齊。比較之公平性由「同電池、同協定、同 MCU、同量測路徑」保證（第三章 + 4.0 節）。</w:t>
      </w:r>
    </w:p>
    <w:p>
      <w:pPr>
        <w:spacing w:before="160" w:after="80" w:lineRule="atLeast" w:line="360"/>
        <w:jc w:val="left"/>
      </w:pPr>
      <w:r>
        <w:rPr>
          <w:rFonts w:eastAsia="標楷體" w:ascii="Times New Roman" w:hAnsi="Times New Roman"/>
          <w:b/>
          <w:i w:val="0"/>
          <w:sz w:val="26"/>
        </w:rPr>
        <w:t>4.4.1 精度比較</w:t>
      </w:r>
    </w:p>
    <w:p>
      <w:pPr>
        <w:spacing w:lineRule="atLeast" w:line="480"/>
        <w:ind w:firstLine="480"/>
        <w:jc w:val="both"/>
      </w:pPr>
      <w:r>
        <w:rPr>
          <w:rFonts w:eastAsia="標楷體" w:ascii="Times New Roman" w:hAnsi="Times New Roman"/>
          <w:b w:val="0"/>
          <w:i w:val="0"/>
          <w:sz w:val="24"/>
        </w:rPr>
        <w:t>於同一組放電 cycle 上，以 4.0 節框架對三法計算精度指標。庫倫計數因即時無修正，於單 cycle 內若初值正確則精度最高（其本即真值錨點）；EKF 之價值在初值錯誤與長期運行下的穩健；動態阻抗之精度受擾動 SNR 與拋物線在頂點附近平緩（靈敏度低）影響。</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3"/>
        <w:gridCol w:w="1026"/>
        <w:gridCol w:w="898"/>
        <w:gridCol w:w="1668"/>
        <w:gridCol w:w="1283"/>
        <w:gridCol w:w="2442"/>
      </w:tblGrid>
      <w:tr>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026"/>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898"/>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1668"/>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收斂時間 (s)</w:t>
            </w:r>
          </w:p>
        </w:tc>
        <w:tc>
          <w:tcPr>
            <w:tcW w:type="dxa" w:w="2442"/>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1283"/>
            <w:vAlign w:val="center"/>
          </w:tcPr>
          <w:p>
            <w:pPr>
              <w:spacing w:before="20" w:after="20" w:lineRule="atLeast" w:line="280"/>
              <w:jc w:val="left"/>
            </w:pPr>
            <w:r>
              <w:rPr>
                <w:rFonts w:eastAsia="標楷體" w:ascii="Times New Roman" w:hAnsi="Times New Roman"/>
                <w:b w:val="0"/>
                <w:i w:val="0"/>
                <w:sz w:val="21"/>
              </w:rPr>
              <w:t>庫倫計數</w:t>
            </w:r>
          </w:p>
        </w:tc>
        <w:tc>
          <w:tcPr>
            <w:tcW w:type="dxa" w:w="1026"/>
            <w:vAlign w:val="center"/>
          </w:tcPr>
          <w:p>
            <w:pPr>
              <w:spacing w:before="20" w:after="20" w:lineRule="atLeast" w:line="280"/>
              <w:jc w:val="right"/>
            </w:pPr>
            <w:r>
              <w:rPr>
                <w:rFonts w:eastAsia="標楷體" w:ascii="Times New Roman" w:hAnsi="Times New Roman"/>
                <w:b/>
                <w:i w:val="0"/>
                <w:color w:val="C00000"/>
                <w:sz w:val="21"/>
              </w:rPr>
              <w:t>[待測]</w:t>
            </w:r>
          </w:p>
        </w:tc>
        <w:tc>
          <w:tcPr>
            <w:tcW w:type="dxa" w:w="89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66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83"/>
            <w:vAlign w:val="center"/>
          </w:tcPr>
          <w:p>
            <w:pPr>
              <w:spacing w:before="20" w:after="20" w:lineRule="atLeast" w:line="280"/>
              <w:jc w:val="right"/>
            </w:pPr>
            <w:r>
              <w:rPr>
                <w:rFonts w:eastAsia="標楷體" w:ascii="Times New Roman" w:hAnsi="Times New Roman"/>
                <w:b w:val="0"/>
                <w:i w:val="0"/>
                <w:sz w:val="21"/>
              </w:rPr>
              <w:t>N/A（無收斂機制）</w:t>
            </w:r>
          </w:p>
        </w:tc>
        <w:tc>
          <w:tcPr>
            <w:tcW w:type="dxa" w:w="2442"/>
            <w:vAlign w:val="center"/>
          </w:tcPr>
          <w:p>
            <w:pPr>
              <w:spacing w:before="20" w:after="20" w:lineRule="atLeast" w:line="280"/>
              <w:jc w:val="left"/>
            </w:pPr>
            <w:r>
              <w:rPr>
                <w:rFonts w:eastAsia="標楷體" w:ascii="Times New Roman" w:hAnsi="Times New Roman"/>
                <w:b w:val="0"/>
                <w:i w:val="0"/>
                <w:sz w:val="21"/>
              </w:rPr>
              <w:t>初值正確時單 cycle 內為對照基準</w:t>
            </w:r>
          </w:p>
        </w:tc>
      </w:tr>
      <w:tr>
        <w:tc>
          <w:tcPr>
            <w:tcW w:type="dxa" w:w="1283"/>
            <w:vAlign w:val="center"/>
          </w:tcPr>
          <w:p>
            <w:pPr>
              <w:spacing w:before="20" w:after="20" w:lineRule="atLeast" w:line="280"/>
              <w:jc w:val="left"/>
            </w:pPr>
            <w:r>
              <w:rPr>
                <w:rFonts w:eastAsia="標楷體" w:ascii="Times New Roman" w:hAnsi="Times New Roman"/>
                <w:b w:val="0"/>
                <w:i w:val="0"/>
                <w:sz w:val="21"/>
              </w:rPr>
              <w:t>EKF</w:t>
            </w:r>
          </w:p>
        </w:tc>
        <w:tc>
          <w:tcPr>
            <w:tcW w:type="dxa" w:w="1026"/>
            <w:vAlign w:val="center"/>
          </w:tcPr>
          <w:p>
            <w:pPr>
              <w:spacing w:before="20" w:after="20" w:lineRule="atLeast" w:line="280"/>
              <w:jc w:val="right"/>
            </w:pPr>
            <w:r>
              <w:rPr>
                <w:rFonts w:eastAsia="標楷體" w:ascii="Times New Roman" w:hAnsi="Times New Roman"/>
                <w:b/>
                <w:i w:val="0"/>
                <w:color w:val="C00000"/>
                <w:sz w:val="21"/>
              </w:rPr>
              <w:t>[待測]</w:t>
            </w:r>
          </w:p>
        </w:tc>
        <w:tc>
          <w:tcPr>
            <w:tcW w:type="dxa" w:w="89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66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8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442"/>
            <w:vAlign w:val="center"/>
          </w:tcPr>
          <w:p>
            <w:pPr>
              <w:spacing w:before="20" w:after="20" w:lineRule="atLeast" w:line="280"/>
              <w:jc w:val="left"/>
            </w:pPr>
            <w:r>
              <w:rPr>
                <w:rFonts w:eastAsia="標楷體" w:ascii="Times New Roman" w:hAnsi="Times New Roman"/>
                <w:b w:val="0"/>
                <w:i w:val="0"/>
                <w:sz w:val="21"/>
              </w:rPr>
              <w:t>可自初值錯誤收斂</w:t>
            </w:r>
          </w:p>
        </w:tc>
      </w:tr>
      <w:tr>
        <w:tc>
          <w:tcPr>
            <w:tcW w:type="dxa" w:w="1283"/>
            <w:vAlign w:val="center"/>
          </w:tcPr>
          <w:p>
            <w:pPr>
              <w:spacing w:before="20" w:after="20" w:lineRule="atLeast" w:line="280"/>
              <w:jc w:val="left"/>
            </w:pPr>
            <w:r>
              <w:rPr>
                <w:rFonts w:eastAsia="標楷體" w:ascii="Times New Roman" w:hAnsi="Times New Roman"/>
                <w:b w:val="0"/>
                <w:i w:val="0"/>
                <w:sz w:val="21"/>
              </w:rPr>
              <w:t>動態阻抗（單獨反推）</w:t>
            </w:r>
          </w:p>
        </w:tc>
        <w:tc>
          <w:tcPr>
            <w:tcW w:type="dxa" w:w="1026"/>
            <w:vAlign w:val="center"/>
          </w:tcPr>
          <w:p>
            <w:pPr>
              <w:spacing w:before="20" w:after="20" w:lineRule="atLeast" w:line="280"/>
              <w:jc w:val="right"/>
            </w:pPr>
            <w:r>
              <w:rPr>
                <w:rFonts w:eastAsia="標楷體" w:ascii="Times New Roman" w:hAnsi="Times New Roman"/>
                <w:b w:val="0"/>
                <w:i w:val="0"/>
                <w:sz w:val="21"/>
              </w:rPr>
              <w:t>6～10</w:t>
            </w:r>
          </w:p>
        </w:tc>
        <w:tc>
          <w:tcPr>
            <w:tcW w:type="dxa" w:w="898"/>
            <w:vAlign w:val="center"/>
          </w:tcPr>
          <w:p>
            <w:pPr>
              <w:spacing w:before="20" w:after="20" w:lineRule="atLeast" w:line="280"/>
              <w:jc w:val="right"/>
            </w:pPr>
            <w:r>
              <w:rPr>
                <w:rFonts w:eastAsia="標楷體" w:ascii="Times New Roman" w:hAnsi="Times New Roman"/>
                <w:b w:val="0"/>
                <w:i w:val="0"/>
                <w:sz w:val="21"/>
              </w:rPr>
              <w:t>5～8</w:t>
            </w:r>
          </w:p>
        </w:tc>
        <w:tc>
          <w:tcPr>
            <w:tcW w:type="dxa" w:w="1668"/>
            <w:vAlign w:val="center"/>
          </w:tcPr>
          <w:p>
            <w:pPr>
              <w:spacing w:before="20" w:after="20" w:lineRule="atLeast" w:line="280"/>
              <w:jc w:val="right"/>
            </w:pPr>
            <w:r>
              <w:rPr>
                <w:rFonts w:eastAsia="標楷體" w:ascii="Times New Roman" w:hAnsi="Times New Roman"/>
                <w:b w:val="0"/>
                <w:i w:val="0"/>
                <w:sz w:val="21"/>
              </w:rPr>
              <w:t>~20</w:t>
            </w:r>
          </w:p>
        </w:tc>
        <w:tc>
          <w:tcPr>
            <w:tcW w:type="dxa" w:w="1283"/>
            <w:vAlign w:val="center"/>
          </w:tcPr>
          <w:p>
            <w:pPr>
              <w:spacing w:before="20" w:after="20" w:lineRule="atLeast" w:line="280"/>
              <w:jc w:val="right"/>
            </w:pPr>
            <w:r>
              <w:rPr>
                <w:rFonts w:eastAsia="標楷體" w:ascii="Times New Roman" w:hAnsi="Times New Roman"/>
                <w:b w:val="0"/>
                <w:i w:val="0"/>
                <w:sz w:val="21"/>
              </w:rPr>
              <w:t>N/A</w:t>
            </w:r>
          </w:p>
        </w:tc>
        <w:tc>
          <w:tcPr>
            <w:tcW w:type="dxa" w:w="2442"/>
            <w:vAlign w:val="center"/>
          </w:tcPr>
          <w:p>
            <w:pPr>
              <w:spacing w:before="20" w:after="20" w:lineRule="atLeast" w:line="280"/>
              <w:jc w:val="left"/>
            </w:pPr>
            <w:r>
              <w:rPr>
                <w:rFonts w:eastAsia="標楷體" w:ascii="Times New Roman" w:hAnsi="Times New Roman"/>
                <w:b w:val="0"/>
                <w:i w:val="0"/>
                <w:sz w:val="21"/>
              </w:rPr>
              <w:t>實測（見 4.3.4）；中段誤差較大</w:t>
            </w:r>
          </w:p>
        </w:tc>
      </w:tr>
    </w:tbl>
    <w:p>
      <w:pPr>
        <w:spacing w:before="60" w:after="160" w:lineRule="atLeast" w:line="320"/>
        <w:jc w:val="center"/>
      </w:pPr>
      <w:r>
        <w:rPr>
          <w:rFonts w:eastAsia="標楷體" w:ascii="Times New Roman" w:hAnsi="Times New Roman"/>
          <w:b/>
          <w:i w:val="0"/>
          <w:sz w:val="22"/>
        </w:rPr>
        <w:t>表 4-4</w:t>
      </w:r>
      <w:r>
        <w:rPr>
          <w:rFonts w:eastAsia="標楷體" w:ascii="Times New Roman" w:hAnsi="Times New Roman"/>
          <w:b w:val="0"/>
          <w:i w:val="0"/>
          <w:sz w:val="22"/>
        </w:rPr>
        <w:t xml:space="preserve">　三法標稱工況精度比較（動態阻抗為實測；庫倫與 EKF 待 EKF 原型完成後填入）</w:t>
      </w:r>
    </w:p>
    <w:p>
      <w:pPr>
        <w:spacing w:before="160" w:after="80" w:lineRule="atLeast" w:line="360"/>
        <w:jc w:val="left"/>
      </w:pPr>
      <w:r>
        <w:rPr>
          <w:rFonts w:eastAsia="標楷體" w:ascii="Times New Roman" w:hAnsi="Times New Roman"/>
          <w:b/>
          <w:i w:val="0"/>
          <w:sz w:val="26"/>
        </w:rPr>
        <w:t>4.4.2 強健性比較</w:t>
      </w:r>
    </w:p>
    <w:p>
      <w:pPr>
        <w:spacing w:lineRule="atLeast" w:line="480"/>
        <w:ind w:firstLine="480"/>
        <w:jc w:val="both"/>
      </w:pPr>
      <w:r>
        <w:rPr>
          <w:rFonts w:eastAsia="標楷體" w:ascii="Times New Roman" w:hAnsi="Times New Roman"/>
          <w:b w:val="0"/>
          <w:i w:val="0"/>
          <w:sz w:val="24"/>
        </w:rPr>
        <w:t xml:space="preserve">三項壓力測試（皆 </w:t>
      </w:r>
      <w:r>
        <w:rPr>
          <w:rFonts w:eastAsia="標楷體" w:ascii="Consolas" w:hAnsi="Consolas"/>
          <w:b w:val="0"/>
          <w:i w:val="0"/>
          <w:sz w:val="21"/>
        </w:rPr>
        <w:t>[待測]</w:t>
      </w:r>
      <w:r>
        <w:rPr>
          <w:rFonts w:eastAsia="標楷體" w:ascii="Times New Roman" w:hAnsi="Times New Roman"/>
          <w:b w:val="0"/>
          <w:i w:val="0"/>
          <w:sz w:val="24"/>
        </w:rPr>
        <w:t>，待 EKF／動態阻抗實作後於 PC 與 MCU 上施測）：</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初值錯誤恢復</w:t>
      </w:r>
      <w:r>
        <w:rPr>
          <w:rFonts w:eastAsia="標楷體" w:ascii="Times New Roman" w:hAnsi="Times New Roman"/>
          <w:b w:val="0"/>
          <w:i w:val="0"/>
          <w:sz w:val="24"/>
        </w:rPr>
        <w:t xml:space="preserve">：初值偏移 </w:t>
      </w:r>
      <w:r>
        <w:rPr>
          <w:rFonts w:eastAsia="標楷體" w:ascii="Times New Roman" w:hAnsi="Times New Roman"/>
          <w:b w:val="0"/>
          <w:i w:val="0"/>
          <w:sz w:val="24"/>
        </w:rPr>
        <w:t>± 20%</w:t>
      </w:r>
      <w:r>
        <w:rPr>
          <w:rFonts w:eastAsia="標楷體" w:ascii="Times New Roman" w:hAnsi="Times New Roman"/>
          <w:b w:val="0"/>
          <w:i w:val="0"/>
          <w:sz w:val="24"/>
        </w:rPr>
        <w:t>。預期庫倫計數誤差永久不收斂（無修正機制）、EKF 於數十秒至數分鐘內收斂、動態阻抗於首個擾動事件即可獨立重估（理論上最快擺脫錯誤初值）。</w:t>
      </w:r>
      <w:r>
        <w:rPr>
          <w:rFonts w:eastAsia="標楷體" w:ascii="Consolas" w:hAnsi="Consolas"/>
          <w:b w:val="0"/>
          <w:i w:val="0"/>
          <w:sz w:val="21"/>
        </w:rPr>
        <w:t>[待測]</w:t>
      </w:r>
      <w:r>
        <w:rPr>
          <w:rFonts w:eastAsia="標楷體" w:ascii="Times New Roman" w:hAnsi="Times New Roman"/>
          <w:b w:val="0"/>
          <w:i w:val="0"/>
          <w:sz w:val="24"/>
        </w:rPr>
        <w:t xml:space="preserve"> 各法 </w:t>
      </w:r>
      <w:r>
        <w:rPr>
          <w:rFonts w:eastAsia="標楷體" w:ascii="Times New Roman" w:hAnsi="Times New Roman"/>
          <w:b w:val="0"/>
          <w:i w:val="0"/>
          <w:sz w:val="24"/>
        </w:rPr>
        <w:t xml:space="preserve">t</w:t>
      </w:r>
      <w:r>
        <w:rPr>
          <w:rFonts w:eastAsia="標楷體" w:ascii="Times New Roman" w:hAnsi="Times New Roman"/>
          <w:b w:val="0"/>
          <w:i w:val="0"/>
          <w:sz w:val="24"/>
          <w:vertAlign w:val="subscript"/>
        </w:rPr>
        <w:t xml:space="preserve">conv</w:t>
      </w:r>
      <w:r>
        <w:rPr>
          <w:rFonts w:eastAsia="標楷體" w:ascii="Times New Roman" w:hAnsi="Times New Roman"/>
          <w:b w:val="0"/>
          <w:i w:val="0"/>
          <w:sz w:val="24"/>
        </w:rPr>
        <w:t xml:space="preserve"> 與穩態誤差。</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C-rate 切換</w:t>
      </w:r>
      <w:r>
        <w:rPr>
          <w:rFonts w:eastAsia="標楷體" w:ascii="Times New Roman" w:hAnsi="Times New Roman"/>
          <w:b w:val="0"/>
          <w:i w:val="0"/>
          <w:sz w:val="24"/>
        </w:rPr>
        <w:t xml:space="preserve">：於放電中切換倍率，觀察誤差尖峰。預期 EKF 因 RC 模型可吸收暫態、動態阻抗於切換瞬間 </w:t>
      </w:r>
      <w:r>
        <w:rPr>
          <w:rFonts w:eastAsia="標楷體" w:ascii="Times New Roman" w:hAnsi="Times New Roman"/>
          <w:b w:val="0"/>
          <w:i w:val="0"/>
          <w:sz w:val="24"/>
        </w:rPr>
        <w:t>Δ I</w:t>
      </w:r>
      <w:r>
        <w:rPr>
          <w:rFonts w:eastAsia="標楷體" w:ascii="Times New Roman" w:hAnsi="Times New Roman"/>
          <w:b w:val="0"/>
          <w:i w:val="0"/>
          <w:sz w:val="24"/>
        </w:rPr>
        <w:t xml:space="preserve"> 異常需剔除該事件。</w:t>
      </w:r>
      <w:r>
        <w:rPr>
          <w:rFonts w:eastAsia="標楷體" w:ascii="Consolas" w:hAnsi="Consolas"/>
          <w:b w:val="0"/>
          <w:i w:val="0"/>
          <w:sz w:val="21"/>
        </w:rPr>
        <w:t>[待測]</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噪聲抗性</w:t>
      </w:r>
      <w:r>
        <w:rPr>
          <w:rFonts w:eastAsia="標楷體" w:ascii="Times New Roman" w:hAnsi="Times New Roman"/>
          <w:b w:val="0"/>
          <w:i w:val="0"/>
          <w:sz w:val="24"/>
        </w:rPr>
        <w:t xml:space="preserve">：人為注入電流／電壓量測噪聲，比較三法 SOC 抖動。預期 EKF 因 </w:t>
      </w:r>
      <w:r>
        <w:rPr>
          <w:rFonts w:eastAsia="標楷體" w:ascii="Times New Roman" w:hAnsi="Times New Roman"/>
          <w:b w:val="0"/>
          <w:i w:val="0"/>
          <w:sz w:val="24"/>
        </w:rPr>
        <w:t>Q/R</w:t>
      </w:r>
      <w:r>
        <w:rPr>
          <w:rFonts w:eastAsia="標楷體" w:ascii="Times New Roman" w:hAnsi="Times New Roman"/>
          <w:b w:val="0"/>
          <w:i w:val="0"/>
          <w:sz w:val="24"/>
        </w:rPr>
        <w:t xml:space="preserve"> 濾波最穩、庫倫計數對電流噪聲積分平均、動態阻抗對單點差分噪聲最敏感。</w:t>
      </w:r>
      <w:r>
        <w:rPr>
          <w:rFonts w:eastAsia="標楷體" w:ascii="Consolas" w:hAnsi="Consolas"/>
          <w:b w:val="0"/>
          <w:i w:val="0"/>
          <w:sz w:val="21"/>
        </w:rPr>
        <w:t>[待測]</w:t>
      </w:r>
      <w:r>
        <w:rPr>
          <w:rFonts w:eastAsia="標楷體" w:ascii="Times New Roman" w:hAnsi="Times New Roman"/>
          <w:b w:val="0"/>
          <w:i w:val="0"/>
          <w:sz w:val="24"/>
        </w:rPr>
        <w:t>。</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72"/>
        <w:gridCol w:w="1376"/>
        <w:gridCol w:w="1376"/>
        <w:gridCol w:w="1376"/>
      </w:tblGrid>
      <w:tr>
        <w:tc>
          <w:tcPr>
            <w:tcW w:type="dxa" w:w="4472"/>
            <w:shd w:val="clear" w:color="auto" w:fill="D9E2F3"/>
            <w:vAlign w:val="center"/>
          </w:tcPr>
          <w:p>
            <w:pPr>
              <w:spacing w:before="20" w:after="20" w:lineRule="atLeast" w:line="280"/>
              <w:jc w:val="center"/>
            </w:pPr>
            <w:r>
              <w:rPr>
                <w:rFonts w:eastAsia="標楷體" w:ascii="Times New Roman" w:hAnsi="Times New Roman"/>
                <w:b/>
                <w:i w:val="0"/>
                <w:sz w:val="21"/>
              </w:rPr>
              <w:t>壓力測試</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庫倫計數</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EKF</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動態阻抗</w:t>
            </w:r>
          </w:p>
        </w:tc>
      </w:tr>
      <w:tr>
        <w:tc>
          <w:tcPr>
            <w:tcW w:type="dxa" w:w="4472"/>
            <w:vAlign w:val="center"/>
          </w:tcPr>
          <w:p>
            <w:pPr>
              <w:spacing w:before="20" w:after="20" w:lineRule="atLeast" w:line="280"/>
              <w:jc w:val="left"/>
            </w:pPr>
            <w:r>
              <w:rPr>
                <w:rFonts w:eastAsia="標楷體" w:ascii="Times New Roman" w:hAnsi="Times New Roman"/>
                <w:b w:val="0"/>
                <w:i w:val="0"/>
                <w:sz w:val="21"/>
              </w:rPr>
              <w:t xml:space="preserve">初值 </w:t>
            </w:r>
            <w:r>
              <w:rPr>
                <w:rFonts w:eastAsia="標楷體" w:ascii="Times New Roman" w:hAnsi="Times New Roman"/>
                <w:b w:val="0"/>
                <w:i w:val="0"/>
                <w:sz w:val="21"/>
              </w:rPr>
              <w:t>-20%</w:t>
            </w:r>
            <w:r>
              <w:rPr>
                <w:rFonts w:eastAsia="標楷體" w:ascii="Times New Roman" w:hAnsi="Times New Roman"/>
                <w:b w:val="0"/>
                <w:i w:val="0"/>
                <w:sz w:val="21"/>
              </w:rPr>
              <w:t xml:space="preserve"> 恢復</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r>
        <w:tc>
          <w:tcPr>
            <w:tcW w:type="dxa" w:w="4472"/>
            <w:vAlign w:val="center"/>
          </w:tcPr>
          <w:p>
            <w:pPr>
              <w:spacing w:before="20" w:after="20" w:lineRule="atLeast" w:line="280"/>
              <w:jc w:val="left"/>
            </w:pPr>
            <w:r>
              <w:rPr>
                <w:rFonts w:eastAsia="標楷體" w:ascii="Times New Roman" w:hAnsi="Times New Roman"/>
                <w:b w:val="0"/>
                <w:i w:val="0"/>
                <w:sz w:val="21"/>
              </w:rPr>
              <w:t>C-rate 切換尖峰</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r>
        <w:tc>
          <w:tcPr>
            <w:tcW w:type="dxa" w:w="4472"/>
            <w:vAlign w:val="center"/>
          </w:tcPr>
          <w:p>
            <w:pPr>
              <w:spacing w:before="20" w:after="20" w:lineRule="atLeast" w:line="280"/>
              <w:jc w:val="left"/>
            </w:pPr>
            <w:r>
              <w:rPr>
                <w:rFonts w:eastAsia="標楷體" w:ascii="Times New Roman" w:hAnsi="Times New Roman"/>
                <w:b w:val="0"/>
                <w:i w:val="0"/>
                <w:sz w:val="21"/>
              </w:rPr>
              <w:t>噪聲下 SOC 抖動</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bl>
    <w:p>
      <w:pPr>
        <w:spacing w:before="60" w:after="160" w:lineRule="atLeast" w:line="320"/>
        <w:jc w:val="center"/>
      </w:pPr>
      <w:r>
        <w:rPr>
          <w:rFonts w:eastAsia="標楷體" w:ascii="Times New Roman" w:hAnsi="Times New Roman"/>
          <w:b/>
          <w:i w:val="0"/>
          <w:sz w:val="22"/>
        </w:rPr>
        <w:t>表 4-5</w:t>
      </w:r>
      <w:r>
        <w:rPr>
          <w:rFonts w:eastAsia="標楷體" w:ascii="Times New Roman" w:hAnsi="Times New Roman"/>
          <w:b w:val="0"/>
          <w:i w:val="0"/>
          <w:sz w:val="22"/>
        </w:rPr>
        <w:t xml:space="preserve">　三法強健性比較（待實驗填入）</w:t>
      </w:r>
    </w:p>
    <w:p>
      <w:pPr>
        <w:spacing w:before="160" w:after="80" w:lineRule="atLeast" w:line="360"/>
        <w:jc w:val="left"/>
      </w:pPr>
      <w:r>
        <w:rPr>
          <w:rFonts w:eastAsia="標楷體" w:ascii="Times New Roman" w:hAnsi="Times New Roman"/>
          <w:b/>
          <w:i w:val="0"/>
          <w:sz w:val="26"/>
        </w:rPr>
        <w:t>4.4.3 嵌入式 footprint 比較</w:t>
      </w:r>
    </w:p>
    <w:p>
      <w:pPr>
        <w:spacing w:lineRule="atLeast" w:line="480"/>
        <w:ind w:firstLine="480"/>
        <w:jc w:val="both"/>
      </w:pPr>
      <w:r>
        <w:rPr>
          <w:rFonts w:eastAsia="標楷體" w:ascii="Times New Roman" w:hAnsi="Times New Roman"/>
          <w:b w:val="0"/>
          <w:i w:val="0"/>
          <w:sz w:val="24"/>
        </w:rPr>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7"/>
        <w:gridCol w:w="1433"/>
        <w:gridCol w:w="1274"/>
        <w:gridCol w:w="1114"/>
        <w:gridCol w:w="796"/>
        <w:gridCol w:w="3346"/>
      </w:tblGrid>
      <w:tr>
        <w:tc>
          <w:tcPr>
            <w:tcW w:type="dxa" w:w="637"/>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433"/>
            <w:shd w:val="clear" w:color="auto" w:fill="D9E2F3"/>
            <w:vAlign w:val="center"/>
          </w:tcPr>
          <w:p>
            <w:pPr>
              <w:spacing w:before="20" w:after="20" w:lineRule="atLeast" w:line="280"/>
              <w:jc w:val="center"/>
            </w:pPr>
            <w:r>
              <w:rPr>
                <w:rFonts w:eastAsia="標楷體" w:ascii="Times New Roman" w:hAnsi="Times New Roman"/>
                <w:b/>
                <w:i w:val="0"/>
                <w:sz w:val="21"/>
              </w:rPr>
              <w:t>程式空間 (KB)</w:t>
            </w:r>
          </w:p>
        </w:tc>
        <w:tc>
          <w:tcPr>
            <w:tcW w:type="dxa" w:w="1274"/>
            <w:shd w:val="clear" w:color="auto" w:fill="D9E2F3"/>
            <w:vAlign w:val="center"/>
          </w:tcPr>
          <w:p>
            <w:pPr>
              <w:spacing w:before="20" w:after="20" w:lineRule="atLeast" w:line="280"/>
              <w:jc w:val="center"/>
            </w:pPr>
            <w:r>
              <w:rPr>
                <w:rFonts w:eastAsia="標楷體" w:ascii="Times New Roman" w:hAnsi="Times New Roman"/>
                <w:b/>
                <w:i w:val="0"/>
                <w:sz w:val="21"/>
              </w:rPr>
              <w:t>記憶體 (KB)</w:t>
            </w:r>
          </w:p>
        </w:tc>
        <w:tc>
          <w:tcPr>
            <w:tcW w:type="dxa" w:w="1114"/>
            <w:shd w:val="clear" w:color="auto" w:fill="D9E2F3"/>
            <w:vAlign w:val="center"/>
          </w:tcPr>
          <w:p>
            <w:pPr>
              <w:spacing w:before="20" w:after="20" w:lineRule="atLeast" w:line="280"/>
              <w:jc w:val="center"/>
            </w:pPr>
            <w:r>
              <w:rPr>
                <w:rFonts w:eastAsia="標楷體" w:ascii="Times New Roman" w:hAnsi="Times New Roman"/>
                <w:b/>
                <w:i w:val="0"/>
                <w:sz w:val="21"/>
              </w:rPr>
              <w:t>每次更新運算量</w:t>
            </w:r>
          </w:p>
        </w:tc>
        <w:tc>
          <w:tcPr>
            <w:tcW w:type="dxa" w:w="796"/>
            <w:shd w:val="clear" w:color="auto" w:fill="D9E2F3"/>
            <w:vAlign w:val="center"/>
          </w:tcPr>
          <w:p>
            <w:pPr>
              <w:spacing w:before="20" w:after="20" w:lineRule="atLeast" w:line="280"/>
              <w:jc w:val="center"/>
            </w:pPr>
            <w:r>
              <w:rPr>
                <w:rFonts w:eastAsia="標楷體" w:ascii="Times New Roman" w:hAnsi="Times New Roman"/>
                <w:b/>
                <w:i w:val="0"/>
                <w:sz w:val="21"/>
              </w:rPr>
              <w:t>是否需浮點</w:t>
            </w:r>
          </w:p>
        </w:tc>
        <w:tc>
          <w:tcPr>
            <w:tcW w:type="dxa" w:w="3346"/>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637"/>
            <w:vAlign w:val="center"/>
          </w:tcPr>
          <w:p>
            <w:pPr>
              <w:spacing w:before="20" w:after="20" w:lineRule="atLeast" w:line="280"/>
              <w:jc w:val="left"/>
            </w:pPr>
            <w:r>
              <w:rPr>
                <w:rFonts w:eastAsia="標楷體" w:ascii="Times New Roman" w:hAnsi="Times New Roman"/>
                <w:b w:val="0"/>
                <w:i w:val="0"/>
                <w:sz w:val="21"/>
              </w:rPr>
              <w:t>庫倫計數</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否</w:t>
            </w:r>
          </w:p>
        </w:tc>
        <w:tc>
          <w:tcPr>
            <w:tcW w:type="dxa" w:w="3346"/>
            <w:vAlign w:val="center"/>
          </w:tcPr>
          <w:p>
            <w:pPr>
              <w:spacing w:before="20" w:after="20" w:lineRule="atLeast" w:line="280"/>
              <w:jc w:val="left"/>
            </w:pPr>
            <w:r>
              <w:rPr>
                <w:rFonts w:eastAsia="標楷體" w:ascii="Times New Roman" w:hAnsi="Times New Roman"/>
                <w:b w:val="0"/>
                <w:i w:val="0"/>
                <w:sz w:val="21"/>
              </w:rPr>
              <w:t>資源下界</w:t>
            </w:r>
          </w:p>
        </w:tc>
      </w:tr>
      <w:tr>
        <w:tc>
          <w:tcPr>
            <w:tcW w:type="dxa" w:w="637"/>
            <w:vAlign w:val="center"/>
          </w:tcPr>
          <w:p>
            <w:pPr>
              <w:spacing w:before="20" w:after="20" w:lineRule="atLeast" w:line="280"/>
              <w:jc w:val="left"/>
            </w:pPr>
            <w:r>
              <w:rPr>
                <w:rFonts w:eastAsia="標楷體" w:ascii="Times New Roman" w:hAnsi="Times New Roman"/>
                <w:b w:val="0"/>
                <w:i w:val="0"/>
                <w:sz w:val="21"/>
              </w:rPr>
              <w:t>EKF</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是</w:t>
            </w:r>
          </w:p>
        </w:tc>
        <w:tc>
          <w:tcPr>
            <w:tcW w:type="dxa" w:w="3346"/>
            <w:vAlign w:val="center"/>
          </w:tcPr>
          <w:p>
            <w:pPr>
              <w:spacing w:before="20" w:after="20" w:lineRule="atLeast" w:line="280"/>
              <w:jc w:val="left"/>
            </w:pPr>
            <w:r>
              <w:rPr>
                <w:rFonts w:eastAsia="標楷體" w:ascii="Times New Roman" w:hAnsi="Times New Roman"/>
                <w:b w:val="0"/>
                <w:i w:val="0"/>
                <w:sz w:val="21"/>
              </w:rPr>
              <w:t>另需一張開路電壓對照表（約 0.4 KB）</w:t>
            </w:r>
          </w:p>
        </w:tc>
      </w:tr>
      <w:tr>
        <w:tc>
          <w:tcPr>
            <w:tcW w:type="dxa" w:w="637"/>
            <w:vAlign w:val="center"/>
          </w:tcPr>
          <w:p>
            <w:pPr>
              <w:spacing w:before="20" w:after="20" w:lineRule="atLeast" w:line="280"/>
              <w:jc w:val="left"/>
            </w:pPr>
            <w:r>
              <w:rPr>
                <w:rFonts w:eastAsia="標楷體" w:ascii="Times New Roman" w:hAnsi="Times New Roman"/>
                <w:b w:val="0"/>
                <w:i w:val="0"/>
                <w:sz w:val="21"/>
              </w:rPr>
              <w:t>動態阻抗</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是</w:t>
            </w:r>
          </w:p>
        </w:tc>
        <w:tc>
          <w:tcPr>
            <w:tcW w:type="dxa" w:w="3346"/>
            <w:vAlign w:val="center"/>
          </w:tcPr>
          <w:p>
            <w:pPr>
              <w:spacing w:before="20" w:after="20" w:lineRule="atLeast" w:line="280"/>
              <w:jc w:val="left"/>
            </w:pPr>
            <w:r>
              <w:rPr>
                <w:rFonts w:eastAsia="標楷體" w:ascii="Times New Roman" w:hAnsi="Times New Roman"/>
                <w:b w:val="0"/>
                <w:i w:val="0"/>
                <w:sz w:val="21"/>
              </w:rPr>
              <w:t>只需存幾個係數</w:t>
            </w:r>
          </w:p>
        </w:tc>
      </w:tr>
    </w:tbl>
    <w:p>
      <w:pPr>
        <w:spacing w:before="60" w:after="160" w:lineRule="atLeast" w:line="320"/>
        <w:jc w:val="center"/>
      </w:pPr>
      <w:r>
        <w:rPr>
          <w:rFonts w:eastAsia="標楷體" w:ascii="Times New Roman" w:hAnsi="Times New Roman"/>
          <w:b/>
          <w:i w:val="0"/>
          <w:sz w:val="22"/>
        </w:rPr>
        <w:t>表 4-6</w:t>
      </w:r>
      <w:r>
        <w:rPr>
          <w:rFonts w:eastAsia="標楷體" w:ascii="Times New Roman" w:hAnsi="Times New Roman"/>
          <w:b w:val="0"/>
          <w:i w:val="0"/>
          <w:sz w:val="22"/>
        </w:rPr>
        <w:t xml:space="preserve">　三法嵌入式資源佔用比較（同一微控制器實測，待量測填入）。因所用微控制器無硬體浮點運算單元，浮點運算改以軟體模擬，預期 EKF 之每次更新運算量顯著高於另二法。</w:t>
      </w:r>
    </w:p>
    <w:p>
      <w:pPr>
        <w:spacing w:lineRule="atLeast" w:line="480"/>
        <w:ind w:firstLine="480"/>
        <w:jc w:val="both"/>
      </w:pPr>
      <w:r>
        <w:rPr>
          <w:rFonts w:eastAsia="標楷體" w:ascii="Times New Roman" w:hAnsi="Times New Roman"/>
          <w:b w:val="0"/>
          <w:i w:val="0"/>
          <w:sz w:val="24"/>
        </w:rPr>
        <w:t>此表預期清楚呈現「精度—資源」權衡：庫倫計數最省資源但無自我修正能力；EKF 精度與強健性最佳，但程式空間、記憶體與運算量代價最高；動態阻抗居中且實驗成本最低。此即第二章 2.3 節所述「商用晶片為何多捨 EKF」之量化佐證——本研究恰以同硬體實測填補文獻少見之缺口。</w:t>
      </w:r>
    </w:p>
    <w:p>
      <w:pPr>
        <w:spacing w:before="160" w:after="80" w:lineRule="atLeast" w:line="360"/>
        <w:jc w:val="left"/>
      </w:pPr>
      <w:r>
        <w:rPr>
          <w:rFonts w:eastAsia="標楷體" w:ascii="Times New Roman" w:hAnsi="Times New Roman"/>
          <w:b/>
          <w:i w:val="0"/>
          <w:sz w:val="26"/>
        </w:rPr>
        <w:t>4.4.4 適用情境建議</w:t>
      </w:r>
    </w:p>
    <w:p>
      <w:pPr>
        <w:spacing w:lineRule="atLeast" w:line="480"/>
        <w:ind w:firstLine="480"/>
        <w:jc w:val="both"/>
      </w:pPr>
      <w:r>
        <w:rPr>
          <w:rFonts w:eastAsia="標楷體" w:ascii="Times New Roman" w:hAnsi="Times New Roman"/>
          <w:b w:val="0"/>
          <w:i w:val="0"/>
          <w:sz w:val="24"/>
        </w:rPr>
        <w:t>綜合精度、強健性與資源三軸，依目標應用之約束給出方法選用建議（待 4.4.1–4.4.3 數據齊備後，將以實測值支撐下表結論；目前為基於原理與設計的預期）：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35"/>
        <w:gridCol w:w="2310"/>
        <w:gridCol w:w="2055"/>
      </w:tblGrid>
      <w:tr>
        <w:tc>
          <w:tcPr>
            <w:tcW w:type="dxa" w:w="4235"/>
            <w:shd w:val="clear" w:color="auto" w:fill="D9E2F3"/>
            <w:vAlign w:val="center"/>
          </w:tcPr>
          <w:p>
            <w:pPr>
              <w:spacing w:before="20" w:after="20" w:lineRule="atLeast" w:line="280"/>
              <w:jc w:val="center"/>
            </w:pPr>
            <w:r>
              <w:rPr>
                <w:rFonts w:eastAsia="標楷體" w:ascii="Times New Roman" w:hAnsi="Times New Roman"/>
                <w:b/>
                <w:i w:val="0"/>
                <w:sz w:val="21"/>
              </w:rPr>
              <w:t>應用約束</w:t>
            </w:r>
          </w:p>
        </w:tc>
        <w:tc>
          <w:tcPr>
            <w:tcW w:type="dxa" w:w="2310"/>
            <w:shd w:val="clear" w:color="auto" w:fill="D9E2F3"/>
            <w:vAlign w:val="center"/>
          </w:tcPr>
          <w:p>
            <w:pPr>
              <w:spacing w:before="20" w:after="20" w:lineRule="atLeast" w:line="280"/>
              <w:jc w:val="center"/>
            </w:pPr>
            <w:r>
              <w:rPr>
                <w:rFonts w:eastAsia="標楷體" w:ascii="Times New Roman" w:hAnsi="Times New Roman"/>
                <w:b/>
                <w:i w:val="0"/>
                <w:sz w:val="21"/>
              </w:rPr>
              <w:t>建議方法</w:t>
            </w:r>
          </w:p>
        </w:tc>
        <w:tc>
          <w:tcPr>
            <w:tcW w:type="dxa" w:w="2055"/>
            <w:shd w:val="clear" w:color="auto" w:fill="D9E2F3"/>
            <w:vAlign w:val="center"/>
          </w:tcPr>
          <w:p>
            <w:pPr>
              <w:spacing w:before="20" w:after="20" w:lineRule="atLeast" w:line="280"/>
              <w:jc w:val="center"/>
            </w:pPr>
            <w:r>
              <w:rPr>
                <w:rFonts w:eastAsia="標楷體" w:ascii="Times New Roman" w:hAnsi="Times New Roman"/>
                <w:b/>
                <w:i w:val="0"/>
                <w:sz w:val="21"/>
              </w:rPr>
              <w:t>理由（待實測佐證）</w:t>
            </w:r>
          </w:p>
        </w:tc>
      </w:tr>
      <w:tr>
        <w:tc>
          <w:tcPr>
            <w:tcW w:type="dxa" w:w="4235"/>
            <w:vAlign w:val="center"/>
          </w:tcPr>
          <w:p>
            <w:pPr>
              <w:spacing w:before="20" w:after="20" w:lineRule="atLeast" w:line="280"/>
              <w:jc w:val="left"/>
            </w:pPr>
            <w:r>
              <w:rPr>
                <w:rFonts w:eastAsia="標楷體" w:ascii="Times New Roman" w:hAnsi="Times New Roman"/>
                <w:b w:val="0"/>
                <w:i w:val="0"/>
                <w:sz w:val="21"/>
              </w:rPr>
              <w:t>極低成本／算力（8-bit、無 FPU、Flash &lt; 8 KB）</w:t>
            </w:r>
          </w:p>
        </w:tc>
        <w:tc>
          <w:tcPr>
            <w:tcW w:type="dxa" w:w="2310"/>
            <w:vAlign w:val="center"/>
          </w:tcPr>
          <w:p>
            <w:pPr>
              <w:spacing w:before="20" w:after="20" w:lineRule="atLeast" w:line="280"/>
              <w:jc w:val="left"/>
            </w:pPr>
            <w:r>
              <w:rPr>
                <w:rFonts w:eastAsia="標楷體" w:ascii="Times New Roman" w:hAnsi="Times New Roman"/>
                <w:b w:val="0"/>
                <w:i w:val="0"/>
                <w:sz w:val="21"/>
              </w:rPr>
              <w:t>庫倫計數 + 靜置 OCV 週期修正</w:t>
            </w:r>
          </w:p>
        </w:tc>
        <w:tc>
          <w:tcPr>
            <w:tcW w:type="dxa" w:w="2055"/>
            <w:vAlign w:val="center"/>
          </w:tcPr>
          <w:p>
            <w:pPr>
              <w:spacing w:before="20" w:after="20" w:lineRule="atLeast" w:line="280"/>
              <w:jc w:val="left"/>
            </w:pPr>
            <w:r>
              <w:rPr>
                <w:rFonts w:eastAsia="標楷體" w:ascii="Times New Roman" w:hAnsi="Times New Roman"/>
                <w:b w:val="0"/>
                <w:i w:val="0"/>
                <w:sz w:val="21"/>
              </w:rPr>
              <w:t>資源下界；以靜置修正補漂移</w:t>
            </w:r>
          </w:p>
        </w:tc>
      </w:tr>
      <w:tr>
        <w:tc>
          <w:tcPr>
            <w:tcW w:type="dxa" w:w="4235"/>
            <w:vAlign w:val="center"/>
          </w:tcPr>
          <w:p>
            <w:pPr>
              <w:spacing w:before="20" w:after="20" w:lineRule="atLeast" w:line="280"/>
              <w:jc w:val="left"/>
            </w:pPr>
            <w:r>
              <w:rPr>
                <w:rFonts w:eastAsia="標楷體" w:ascii="Times New Roman" w:hAnsi="Times New Roman"/>
                <w:b w:val="0"/>
                <w:i w:val="0"/>
                <w:sz w:val="21"/>
              </w:rPr>
              <w:t>中階且需自初值錯誤恢復</w:t>
            </w:r>
          </w:p>
        </w:tc>
        <w:tc>
          <w:tcPr>
            <w:tcW w:type="dxa" w:w="2310"/>
            <w:vAlign w:val="center"/>
          </w:tcPr>
          <w:p>
            <w:pPr>
              <w:spacing w:before="20" w:after="20" w:lineRule="atLeast" w:line="280"/>
              <w:jc w:val="left"/>
            </w:pPr>
            <w:r>
              <w:rPr>
                <w:rFonts w:eastAsia="標楷體" w:ascii="Times New Roman" w:hAnsi="Times New Roman"/>
                <w:b w:val="0"/>
                <w:i w:val="0"/>
                <w:sz w:val="21"/>
              </w:rPr>
              <w:t>EKF（一階 RC）</w:t>
            </w:r>
          </w:p>
        </w:tc>
        <w:tc>
          <w:tcPr>
            <w:tcW w:type="dxa" w:w="2055"/>
            <w:vAlign w:val="center"/>
          </w:tcPr>
          <w:p>
            <w:pPr>
              <w:spacing w:before="20" w:after="20" w:lineRule="atLeast" w:line="280"/>
              <w:jc w:val="left"/>
            </w:pPr>
            <w:r>
              <w:rPr>
                <w:rFonts w:eastAsia="標楷體" w:ascii="Times New Roman" w:hAnsi="Times New Roman"/>
                <w:b w:val="0"/>
                <w:i w:val="0"/>
                <w:sz w:val="21"/>
              </w:rPr>
              <w:t>精度／強健性最佳，資源代價可接受</w:t>
            </w:r>
          </w:p>
        </w:tc>
      </w:tr>
      <w:tr>
        <w:tc>
          <w:tcPr>
            <w:tcW w:type="dxa" w:w="4235"/>
            <w:vAlign w:val="center"/>
          </w:tcPr>
          <w:p>
            <w:pPr>
              <w:spacing w:before="20" w:after="20" w:lineRule="atLeast" w:line="280"/>
              <w:jc w:val="left"/>
            </w:pPr>
            <w:r>
              <w:rPr>
                <w:rFonts w:eastAsia="標楷體" w:ascii="Times New Roman" w:hAnsi="Times New Roman"/>
                <w:b w:val="0"/>
                <w:i w:val="0"/>
                <w:sz w:val="21"/>
              </w:rPr>
              <w:t>工作中即時、無靜置機會、實驗成本敏感</w:t>
            </w:r>
          </w:p>
        </w:tc>
        <w:tc>
          <w:tcPr>
            <w:tcW w:type="dxa" w:w="2310"/>
            <w:vAlign w:val="center"/>
          </w:tcPr>
          <w:p>
            <w:pPr>
              <w:spacing w:before="20" w:after="20" w:lineRule="atLeast" w:line="280"/>
              <w:jc w:val="left"/>
            </w:pPr>
            <w:r>
              <w:rPr>
                <w:rFonts w:eastAsia="標楷體" w:ascii="Times New Roman" w:hAnsi="Times New Roman"/>
                <w:b w:val="0"/>
                <w:i w:val="0"/>
                <w:sz w:val="21"/>
              </w:rPr>
              <w:t>動態阻抗</w:t>
            </w:r>
          </w:p>
        </w:tc>
        <w:tc>
          <w:tcPr>
            <w:tcW w:type="dxa" w:w="2055"/>
            <w:vAlign w:val="center"/>
          </w:tcPr>
          <w:p>
            <w:pPr>
              <w:spacing w:before="20" w:after="20" w:lineRule="atLeast" w:line="280"/>
              <w:jc w:val="left"/>
            </w:pPr>
            <w:r>
              <w:rPr>
                <w:rFonts w:eastAsia="標楷體" w:ascii="Times New Roman" w:hAnsi="Times New Roman"/>
                <w:b w:val="0"/>
                <w:i w:val="0"/>
                <w:sz w:val="21"/>
              </w:rPr>
              <w:t>無須初值與靜置；複用既有擾動</w:t>
            </w:r>
          </w:p>
        </w:tc>
      </w:tr>
    </w:tbl>
    <w:p>
      <w:pPr>
        <w:spacing w:before="60" w:after="160" w:lineRule="atLeast" w:line="320"/>
        <w:jc w:val="center"/>
      </w:pPr>
      <w:r>
        <w:rPr>
          <w:rFonts w:eastAsia="標楷體" w:ascii="Times New Roman" w:hAnsi="Times New Roman"/>
          <w:b/>
          <w:i w:val="0"/>
          <w:sz w:val="22"/>
        </w:rPr>
        <w:t>表 4-7</w:t>
      </w:r>
      <w:r>
        <w:rPr>
          <w:rFonts w:eastAsia="標楷體" w:ascii="Times New Roman" w:hAnsi="Times New Roman"/>
          <w:b w:val="0"/>
          <w:i w:val="0"/>
          <w:sz w:val="22"/>
        </w:rPr>
        <w:t xml:space="preserve">　SOC 方法適用情境建議（本章版；論文壓軸決策表於第六章以全研究結論收束）</w:t>
      </w:r>
    </w:p>
    <w:p>
      <w:pPr>
        <w:spacing w:before="240" w:after="120" w:lineRule="atLeast" w:line="360"/>
        <w:jc w:val="left"/>
      </w:pPr>
      <w:r>
        <w:rPr>
          <w:rFonts w:eastAsia="標楷體" w:ascii="Times New Roman" w:hAnsi="Times New Roman"/>
          <w:b/>
          <w:i w:val="0"/>
          <w:sz w:val="28"/>
        </w:rPr>
        <w:t>4.5 本章小結</w:t>
      </w:r>
    </w:p>
    <w:p>
      <w:pPr>
        <w:spacing w:lineRule="atLeast" w:line="480"/>
        <w:ind w:firstLine="480"/>
        <w:jc w:val="both"/>
      </w:pPr>
      <w:r>
        <w:rPr>
          <w:rFonts w:eastAsia="標楷體" w:ascii="Times New Roman" w:hAnsi="Times New Roman"/>
          <w:b w:val="0"/>
          <w:i w:val="0"/>
          <w:sz w:val="24"/>
        </w:rPr>
        <w:t>本章於第三章建立的統一平台上，依「原理 → 演算法 → 嵌入式實作 → 實驗結果」一致結構，實作並比較三種 SOC 估測方法。</w:t>
      </w:r>
      <w:r>
        <w:rPr>
          <w:rFonts w:eastAsia="標楷體" w:ascii="Times New Roman" w:hAnsi="Times New Roman"/>
          <w:b/>
          <w:i w:val="0"/>
          <w:sz w:val="24"/>
        </w:rPr>
        <w:t>已完成且實測</w:t>
      </w:r>
      <w:r>
        <w:rPr>
          <w:rFonts w:eastAsia="標楷體" w:ascii="Times New Roman" w:hAnsi="Times New Roman"/>
          <w:b w:val="0"/>
          <w:i w:val="0"/>
          <w:sz w:val="24"/>
        </w:rPr>
        <w:t>者為：庫倫計數法之設計與其作為逐 cycle 基準真值的正當性論證、rounds 1–23 之 rate-capability 實測（此 NMC 電池 0.5C→2.0C 容量僅降約 1%，為公平比較之有利條件），以及</w:t>
      </w:r>
      <w:r>
        <w:rPr>
          <w:rFonts w:eastAsia="標楷體" w:ascii="Times New Roman" w:hAnsi="Times New Roman"/>
          <w:b/>
          <w:i w:val="0"/>
          <w:sz w:val="24"/>
        </w:rPr>
        <w:t>動態阻抗法之完整實測</w:t>
      </w:r>
      <w:r>
        <w:rPr>
          <w:rFonts w:eastAsia="標楷體" w:ascii="Times New Roman" w:hAnsi="Times New Roman"/>
          <w:b w:val="0"/>
          <w:i w:val="0"/>
          <w:sz w:val="24"/>
        </w:rPr>
        <w:t xml:space="preserve">——其 </w:t>
      </w:r>
      <w:r>
        <w:rPr>
          <w:rFonts w:eastAsia="標楷體" w:ascii="Times New Roman" w:hAnsi="Times New Roman"/>
          <w:b w:val="0"/>
          <w:i w:val="0"/>
          <w:sz w:val="24"/>
        </w:rPr>
        <w:t>|Δ V/Δ I|</w:t>
      </w:r>
      <w:r>
        <w:rPr>
          <w:rFonts w:eastAsia="標楷體" w:ascii="Times New Roman" w:hAnsi="Times New Roman"/>
          <w:b w:val="0"/>
          <w:i w:val="0"/>
          <w:sz w:val="24"/>
        </w:rPr>
        <w:t>–SOC 二次擬合（最低點約在 SOC 53%，與理論一致；高倍率擬合殘差低至約 0.5 mΩ），以及以該擬合反推 SOC 之逐點精度（各倍率 RMSE 約 6～10%、SOC 中段較差），後者量化地揭示了單獨反推在中段的病態性，正當化了「阻抗離散校正＋庫倫內插」之混合策略。</w:t>
      </w:r>
      <w:r>
        <w:rPr>
          <w:rFonts w:eastAsia="標楷體" w:ascii="Times New Roman" w:hAnsi="Times New Roman"/>
          <w:b/>
          <w:i w:val="0"/>
          <w:sz w:val="24"/>
        </w:rPr>
        <w:t>設計完成、實驗待跑</w:t>
      </w:r>
      <w:r>
        <w:rPr>
          <w:rFonts w:eastAsia="標楷體" w:ascii="Times New Roman" w:hAnsi="Times New Roman"/>
          <w:b w:val="0"/>
          <w:i w:val="0"/>
          <w:sz w:val="24"/>
        </w:rPr>
        <w:t>者為：EKF（一階 RC，狀態二維、增益免矩陣求逆）之完整演算法與嵌入式實作設計，以及 4.4 之三方法整體精度／強健性／資源佔用比較。</w:t>
      </w:r>
    </w:p>
    <w:p>
      <w:pPr>
        <w:spacing w:lineRule="atLeast" w:line="480"/>
        <w:ind w:firstLine="480"/>
        <w:jc w:val="both"/>
      </w:pPr>
      <w:r>
        <w:rPr>
          <w:rFonts w:eastAsia="標楷體" w:ascii="Times New Roman" w:hAnsi="Times New Roman"/>
          <w:b w:val="0"/>
          <w:i w:val="0"/>
          <w:sz w:val="24"/>
        </w:rPr>
        <w:t xml:space="preserve">凡尚未實測之數值均誠實標註 </w:t>
      </w:r>
      <w:r>
        <w:rPr>
          <w:rFonts w:eastAsia="標楷體" w:ascii="Consolas" w:hAnsi="Consolas"/>
          <w:b w:val="0"/>
          <w:i w:val="0"/>
          <w:sz w:val="21"/>
        </w:rPr>
        <w:t>[待測]</w:t>
      </w:r>
      <w:r>
        <w:rPr>
          <w:rFonts w:eastAsia="標楷體" w:ascii="Times New Roman" w:hAnsi="Times New Roman"/>
          <w:b w:val="0"/>
          <w:i w:val="0"/>
          <w:sz w:val="24"/>
        </w:rPr>
        <w:t>，未以虛構數據充數。待開路電壓對照表建立、EKF 原型與嵌入式移植完成後，4.2.5 與 4.4 各表將以同一電池、同一協定、同一微控制器之實測值填入，屆時即構成本論文回應「嵌入式環境下公平比較」研究缺口之核心證據。第五章將在此基礎上，討論三法並行於同一微控制器的整合策略、運算負載分配、fresh-cell 三輪變異性，以及實驗過程之工程教訓。</w:t>
      </w:r>
    </w:p>
    <w:p>
      <w:pPr>
        <w:pStyle w:val="1"/>
      </w:pPr>
      <w:r>
        <w:rPr>
          <w:rFonts w:ascii="Times New Roman" w:hAnsi="Times New Roman" w:eastAsia="標楷體"/>
          <w:b/>
          <w:sz w:val="32"/>
          <w:color w:val="000000"/>
        </w:rPr>
        <w:t>第五章　系統整合與性能評估</w:t>
      </w:r>
    </w:p>
    <w:p>
      <w:pPr>
        <w:spacing w:line="360" w:lineRule="exact"/>
        <w:jc w:val="left"/>
      </w:pPr>
      <w:r>
        <w:rPr>
          <w:rFonts w:ascii="Times New Roman" w:hAnsi="Times New Roman" w:eastAsia="標楷體"/>
          <w:b/>
          <w:sz w:val="28"/>
        </w:rPr>
        <w:t>5.1 多方法並行於同一微控制器之整合策略</w:t>
      </w:r>
    </w:p>
    <w:p>
      <w:pPr>
        <w:spacing w:line="480" w:lineRule="exact"/>
        <w:ind w:firstLine="480"/>
        <w:jc w:val="both"/>
      </w:pPr>
      <w:r>
        <w:rPr>
          <w:rFonts w:ascii="Times New Roman" w:hAnsi="Times New Roman" w:eastAsia="標楷體"/>
          <w:b w:val="0"/>
          <w:sz w:val="24"/>
        </w:rPr>
        <w:t>第四章將三種估測方法各自視為可替換的核心模組掛載於共用骨架上、逐一比較。本節進一步探討一個實務問題：若要讓三種方法</w:t>
      </w:r>
      <w:r>
        <w:rPr>
          <w:rFonts w:ascii="Times New Roman" w:hAnsi="Times New Roman" w:eastAsia="標楷體"/>
          <w:b/>
          <w:sz w:val="24"/>
        </w:rPr>
        <w:t>同時</w:t>
      </w:r>
      <w:r>
        <w:rPr>
          <w:rFonts w:ascii="Times New Roman" w:hAnsi="Times New Roman" w:eastAsia="標楷體"/>
          <w:b w:val="0"/>
          <w:sz w:val="24"/>
        </w:rPr>
        <w:t>運行於同一顆微控制器（例如以庫倫計數提供連續高解析度軌跡、以動態阻抗在擾動事件處做無須初值的離散校正、以 EKF 融合兩者並提供初值錯誤恢復能力），整合上需要何種架構？</w:t>
      </w:r>
    </w:p>
    <w:p>
      <w:pPr>
        <w:spacing w:line="480" w:lineRule="exact"/>
        <w:ind w:firstLine="480"/>
        <w:jc w:val="both"/>
      </w:pPr>
      <w:r>
        <w:rPr>
          <w:rFonts w:ascii="Times New Roman" w:hAnsi="Times New Roman" w:eastAsia="標楷體"/>
          <w:b w:val="0"/>
          <w:sz w:val="24"/>
        </w:rPr>
        <w:t>本平台之韌體骨架採第三章所述之三層狀態機（task / flow / process）裸機架構，所有週期性工作掛載於固定的系統節拍（100 µs tick）之上，估測模組則於每秒邊界觸發一次。三法並行的整合策略為</w:t>
      </w:r>
      <w:r>
        <w:rPr>
          <w:rFonts w:ascii="Times New Roman" w:hAnsi="Times New Roman" w:eastAsia="標楷體"/>
          <w:b/>
          <w:sz w:val="24"/>
        </w:rPr>
        <w:t>共用前端、分離估測、統一輸出</w:t>
      </w:r>
      <w:r>
        <w:rPr>
          <w:rFonts w:ascii="Times New Roman" w:hAnsi="Times New Roman" w:eastAsia="標楷體"/>
          <w:b w:val="0"/>
          <w:sz w:val="24"/>
        </w:rPr>
        <w:t>：</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共用量測前端</w:t>
      </w:r>
      <w:r>
        <w:rPr>
          <w:rFonts w:ascii="Times New Roman" w:hAnsi="Times New Roman" w:eastAsia="標楷體"/>
          <w:b w:val="0"/>
          <w:sz w:val="24"/>
        </w:rPr>
        <w:t xml:space="preserve">：INA226 經校正後的電流 I</w:t>
      </w:r>
      <w:r>
        <w:rPr>
          <w:rFonts w:ascii="Times New Roman" w:hAnsi="Times New Roman" w:eastAsia="標楷體"/>
          <w:b w:val="0"/>
          <w:sz w:val="24"/>
          <w:vertAlign w:val="subscript"/>
        </w:rPr>
        <w:t xml:space="preserve">k</w:t>
      </w:r>
      <w:r>
        <w:rPr>
          <w:rFonts w:ascii="Times New Roman" w:hAnsi="Times New Roman" w:eastAsia="標楷體"/>
          <w:b w:val="0"/>
          <w:sz w:val="24"/>
        </w:rPr>
        <w:t xml:space="preserve"> 與端電壓 V</w:t>
      </w:r>
      <w:r>
        <w:rPr>
          <w:rFonts w:ascii="Times New Roman" w:hAnsi="Times New Roman" w:eastAsia="標楷體"/>
          <w:b w:val="0"/>
          <w:sz w:val="24"/>
          <w:vertAlign w:val="subscript"/>
        </w:rPr>
        <w:t xml:space="preserve">t</w:t>
      </w:r>
      <w:r>
        <w:rPr>
          <w:rFonts w:ascii="Times New Roman" w:hAnsi="Times New Roman" w:eastAsia="標楷體"/>
          <w:b w:val="0"/>
          <w:sz w:val="24"/>
        </w:rPr>
        <w:t xml:space="preserve">,k 由單一取樣路徑產生，三法共讀同一筆量測，杜絕「不同方法吃到不同量測」導致的不公平與不一致。</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分離估測核心</w:t>
      </w:r>
      <w:r>
        <w:rPr>
          <w:rFonts w:ascii="Times New Roman" w:hAnsi="Times New Roman" w:eastAsia="標楷體"/>
          <w:b w:val="0"/>
          <w:sz w:val="24"/>
        </w:rPr>
        <w:t>：三個估測模組各自維護獨立狀態（庫倫計數的累計電荷、EKF 的狀態向量與協方差、動態阻抗的擾動偵測與係數表），互不干擾，可獨立開關。</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統一輸出與交叉校正介面</w:t>
      </w:r>
      <w:r>
        <w:rPr>
          <w:rFonts w:ascii="Times New Roman" w:hAnsi="Times New Roman" w:eastAsia="標楷體"/>
          <w:b w:val="0"/>
          <w:sz w:val="24"/>
        </w:rPr>
        <w:t>：三法估測值匯入同一狀態回報結構，每秒輸出。此介面同時預留「動態阻抗事件 → 重置庫倫錨點 / 注入 EKF 量測」的交叉校正掛勾，使混合策略（第四章 4.3.3）得以在不更動骨架的前提下實現。</w:t>
      </w:r>
    </w:p>
    <w:p>
      <w:pPr>
        <w:spacing w:line="480" w:lineRule="exact"/>
        <w:ind w:firstLine="480"/>
        <w:jc w:val="both"/>
      </w:pPr>
      <w:r>
        <w:rPr>
          <w:rFonts w:ascii="Times New Roman" w:hAnsi="Times New Roman" w:eastAsia="標楷體"/>
          <w:b w:val="0"/>
          <w:sz w:val="24"/>
        </w:rPr>
        <w:t>此架構的關鍵優點是</w:t>
      </w:r>
      <w:r>
        <w:rPr>
          <w:rFonts w:ascii="Times New Roman" w:hAnsi="Times New Roman" w:eastAsia="標楷體"/>
          <w:b/>
          <w:sz w:val="24"/>
        </w:rPr>
        <w:t>邊際成本可加性</w:t>
      </w:r>
      <w:r>
        <w:rPr>
          <w:rFonts w:ascii="Times New Roman" w:hAnsi="Times New Roman" w:eastAsia="標楷體"/>
          <w:b w:val="0"/>
          <w:sz w:val="24"/>
        </w:rPr>
        <w:t>：由於三法共用前端、僅估測核心分離，三法並行的總資源佔用近似於三者各自 footprint（第四章表 4-6）之和，再加上共用前端一次。據此可在 4.4.3 footprint 量測完成後，直接推估「全方法並行」版本的資源上界，作為目標微控制器選型的依據。</w:t>
      </w:r>
      <w:r>
        <w:rPr>
          <w:rFonts w:ascii="Times New Roman" w:hAnsi="Times New Roman" w:eastAsia="標楷體"/>
          <w:b w:val="0"/>
          <w:color w:val="C00000"/>
          <w:sz w:val="24"/>
        </w:rPr>
        <w:t>[待測]</w:t>
      </w:r>
      <w:r>
        <w:rPr>
          <w:rFonts w:ascii="Times New Roman" w:hAnsi="Times New Roman" w:eastAsia="標楷體"/>
          <w:b w:val="0"/>
          <w:sz w:val="24"/>
        </w:rPr>
        <w:t xml:space="preserve"> 全方法並行之實測總 footprint，待表 4-6 數值齊備後加總驗證。</w:t>
      </w:r>
    </w:p>
    <w:p>
      <w:pPr>
        <w:spacing w:line="360" w:lineRule="exact"/>
        <w:jc w:val="left"/>
      </w:pPr>
      <w:r>
        <w:rPr>
          <w:rFonts w:ascii="Times New Roman" w:hAnsi="Times New Roman" w:eastAsia="標楷體"/>
          <w:b/>
          <w:sz w:val="28"/>
        </w:rPr>
        <w:t>5.2 即時性與 CPU 負載分配驗證</w:t>
      </w:r>
    </w:p>
    <w:p>
      <w:pPr>
        <w:spacing w:line="480" w:lineRule="exact"/>
        <w:ind w:firstLine="480"/>
        <w:jc w:val="both"/>
      </w:pPr>
      <w:r>
        <w:rPr>
          <w:rFonts w:ascii="Times New Roman" w:hAnsi="Times New Roman" w:eastAsia="標楷體"/>
          <w:b w:val="0"/>
          <w:sz w:val="24"/>
        </w:rPr>
        <w:t>嵌入式 SOC 估測除了精度與資源佔用，尚須驗證</w:t>
      </w:r>
      <w:r>
        <w:rPr>
          <w:rFonts w:ascii="Times New Roman" w:hAnsi="Times New Roman" w:eastAsia="標楷體"/>
          <w:b/>
          <w:sz w:val="24"/>
        </w:rPr>
        <w:t>即時性</w:t>
      </w:r>
      <w:r>
        <w:rPr>
          <w:rFonts w:ascii="Times New Roman" w:hAnsi="Times New Roman" w:eastAsia="標楷體"/>
          <w:b w:val="0"/>
          <w:sz w:val="24"/>
        </w:rPr>
        <w:t>：所有週期性工作必須在其時限內完成，估測更新不得排擠到安全相關工作（如保護判斷）或量測取樣。本節以 100 µs 系統節拍為時間預算單位，驗證三法（含並行）之 CPU 負載落在預算內。</w:t>
      </w:r>
    </w:p>
    <w:p>
      <w:pPr>
        <w:spacing w:line="480" w:lineRule="exact"/>
        <w:ind w:firstLine="480"/>
        <w:jc w:val="both"/>
      </w:pPr>
      <w:r>
        <w:rPr>
          <w:rFonts w:ascii="Times New Roman" w:hAnsi="Times New Roman" w:eastAsia="標楷體"/>
          <w:b/>
          <w:sz w:val="24"/>
        </w:rPr>
        <w:t>時間預算模型</w:t>
      </w:r>
      <w:r>
        <w:rPr>
          <w:rFonts w:ascii="Times New Roman" w:hAnsi="Times New Roman" w:eastAsia="標楷體"/>
          <w:b w:val="0"/>
          <w:sz w:val="24"/>
        </w:rPr>
        <w:t xml:space="preserve">：系統節拍週期 T</w:t>
      </w:r>
      <w:r>
        <w:rPr>
          <w:rFonts w:ascii="Times New Roman" w:hAnsi="Times New Roman" w:eastAsia="標楷體"/>
          <w:b w:val="0"/>
          <w:sz w:val="24"/>
          <w:vertAlign w:val="subscript"/>
        </w:rPr>
        <w:t xml:space="preserve">tick</w:t>
      </w:r>
      <w:r>
        <w:rPr>
          <w:rFonts w:ascii="Times New Roman" w:hAnsi="Times New Roman" w:eastAsia="標楷體"/>
          <w:b w:val="0"/>
          <w:sz w:val="24"/>
        </w:rPr>
        <w:t xml:space="preserve"> = 100 µs，微控制器 SYSCLK 為 64 MHz，故每個 tick 約有 6400 個 CPU cycle 之預算。週期性工作中，量測取樣與通訊回報為固定開銷；估測更新每秒觸發一次（即每 10000 個 tick 觸發一次），其單次運算量即第四章表 4-6 量測之「每次更新 CPU cycles」。由於估測每秒僅一次，即使 EKF 之軟體浮點運算單次耗時最長，只要單次更新可在數個 tick 內完成（或拆分至多個 tick 攤提），即不影響即時性。</w:t>
      </w:r>
    </w:p>
    <w:p>
      <w:pPr>
        <w:spacing w:line="480" w:lineRule="exact"/>
        <w:ind w:firstLine="480"/>
        <w:jc w:val="both"/>
      </w:pPr>
      <w:r>
        <w:rPr>
          <w:rFonts w:ascii="Times New Roman" w:hAnsi="Times New Roman" w:eastAsia="標楷體"/>
          <w:b/>
          <w:sz w:val="24"/>
        </w:rPr>
        <w:t>負載分配驗證方法</w:t>
      </w:r>
      <w:r>
        <w:rPr>
          <w:rFonts w:ascii="Times New Roman" w:hAnsi="Times New Roman" w:eastAsia="標楷體"/>
          <w:b w:val="0"/>
          <w:sz w:val="24"/>
        </w:rPr>
        <w:t>：以實際計時量測三法單次更新所佔 cycle 數，換算成「估測更新觸發當下那一秒」的 CPU 佔用率，並確認其與固定開銷之和遠低於 100%。對 EKF 之軟體浮點負擔，另驗證單次更新是否需跨多個 tick 攤提，以避免單一 tick 超時。</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工作項目</w:t>
            </w:r>
          </w:p>
        </w:tc>
        <w:tc>
          <w:tcPr>
            <w:tcW w:type="dxa" w:w="1661"/>
            <w:shd w:val="clear" w:color="auto" w:fill="D9E2F3"/>
          </w:tcPr>
          <w:p>
            <w:pPr>
              <w:jc w:val="center"/>
            </w:pPr>
            <w:r/>
            <w:r>
              <w:rPr>
                <w:rFonts w:ascii="Times New Roman" w:hAnsi="Times New Roman" w:eastAsia="標楷體"/>
                <w:b/>
                <w:sz w:val="21"/>
              </w:rPr>
              <w:t>觸發週期</w:t>
            </w:r>
          </w:p>
        </w:tc>
        <w:tc>
          <w:tcPr>
            <w:tcW w:type="dxa" w:w="1661"/>
            <w:shd w:val="clear" w:color="auto" w:fill="D9E2F3"/>
          </w:tcPr>
          <w:p>
            <w:pPr>
              <w:jc w:val="center"/>
            </w:pPr>
            <w:r/>
            <w:r>
              <w:rPr>
                <w:rFonts w:ascii="Times New Roman" w:hAnsi="Times New Roman" w:eastAsia="標楷體"/>
                <w:b/>
                <w:sz w:val="21"/>
              </w:rPr>
              <w:t>單次 CPU cycles</w:t>
            </w:r>
          </w:p>
        </w:tc>
        <w:tc>
          <w:tcPr>
            <w:tcW w:type="dxa" w:w="1661"/>
            <w:shd w:val="clear" w:color="auto" w:fill="D9E2F3"/>
          </w:tcPr>
          <w:p>
            <w:pPr>
              <w:jc w:val="center"/>
            </w:pPr>
            <w:r/>
            <w:r>
              <w:rPr>
                <w:rFonts w:ascii="Times New Roman" w:hAnsi="Times New Roman" w:eastAsia="標楷體"/>
                <w:b/>
                <w:sz w:val="21"/>
              </w:rPr>
              <w:t>tick 佔用率</w:t>
            </w:r>
          </w:p>
        </w:tc>
        <w:tc>
          <w:tcPr>
            <w:tcW w:type="dxa" w:w="1661"/>
            <w:shd w:val="clear" w:color="auto" w:fill="D9E2F3"/>
          </w:tcPr>
          <w:p>
            <w:pPr>
              <w:jc w:val="center"/>
            </w:pPr>
            <w:r/>
            <w:r>
              <w:rPr>
                <w:rFonts w:ascii="Times New Roman" w:hAnsi="Times New Roman" w:eastAsia="標楷體"/>
                <w:b/>
                <w:sz w:val="21"/>
              </w:rPr>
              <w:t>備註</w:t>
            </w:r>
          </w:p>
        </w:tc>
      </w:tr>
      <w:tr>
        <w:tc>
          <w:tcPr>
            <w:tcW w:type="dxa" w:w="1661"/>
          </w:tcPr>
          <w:p>
            <w:pPr>
              <w:jc w:val="left"/>
            </w:pPr>
            <w:r/>
            <w:r>
              <w:rPr>
                <w:rFonts w:ascii="Times New Roman" w:hAnsi="Times New Roman" w:eastAsia="標楷體"/>
                <w:b w:val="0"/>
                <w:sz w:val="21"/>
              </w:rPr>
              <w:t>系統節拍固定開銷</w:t>
            </w:r>
          </w:p>
        </w:tc>
        <w:tc>
          <w:tcPr>
            <w:tcW w:type="dxa" w:w="1661"/>
          </w:tcPr>
          <w:p>
            <w:pPr>
              <w:jc w:val="left"/>
            </w:pPr>
            <w:r/>
            <w:r>
              <w:rPr>
                <w:rFonts w:ascii="Times New Roman" w:hAnsi="Times New Roman" w:eastAsia="標楷體"/>
                <w:b w:val="0"/>
                <w:sz w:val="21"/>
              </w:rPr>
              <w:t>100 µs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取樣 + 狀態機排程</w:t>
            </w:r>
          </w:p>
        </w:tc>
      </w:tr>
      <w:tr>
        <w:tc>
          <w:tcPr>
            <w:tcW w:type="dxa" w:w="1661"/>
          </w:tcPr>
          <w:p>
            <w:pPr>
              <w:jc w:val="left"/>
            </w:pPr>
            <w:r/>
            <w:r>
              <w:rPr>
                <w:rFonts w:ascii="Times New Roman" w:hAnsi="Times New Roman" w:eastAsia="標楷體"/>
                <w:b w:val="0"/>
                <w:sz w:val="21"/>
              </w:rPr>
              <w:t>庫倫計數更新</w:t>
            </w:r>
          </w:p>
        </w:tc>
        <w:tc>
          <w:tcPr>
            <w:tcW w:type="dxa" w:w="1661"/>
          </w:tcPr>
          <w:p>
            <w:pPr>
              <w:jc w:val="left"/>
            </w:pPr>
            <w:r/>
            <w:r>
              <w:rPr>
                <w:rFonts w:ascii="Times New Roman" w:hAnsi="Times New Roman" w:eastAsia="標楷體"/>
                <w:b w:val="0"/>
                <w:sz w:val="21"/>
              </w:rPr>
              <w:t>1 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一乘一加，資源下界</w:t>
            </w:r>
          </w:p>
        </w:tc>
      </w:tr>
      <w:tr>
        <w:tc>
          <w:tcPr>
            <w:tcW w:type="dxa" w:w="1661"/>
          </w:tcPr>
          <w:p>
            <w:pPr>
              <w:jc w:val="left"/>
            </w:pPr>
            <w:r/>
            <w:r>
              <w:rPr>
                <w:rFonts w:ascii="Times New Roman" w:hAnsi="Times New Roman" w:eastAsia="標楷體"/>
                <w:b w:val="0"/>
                <w:sz w:val="21"/>
              </w:rPr>
              <w:t>EKF 更新</w:t>
            </w:r>
          </w:p>
        </w:tc>
        <w:tc>
          <w:tcPr>
            <w:tcW w:type="dxa" w:w="1661"/>
          </w:tcPr>
          <w:p>
            <w:pPr>
              <w:jc w:val="left"/>
            </w:pPr>
            <w:r/>
            <w:r>
              <w:rPr>
                <w:rFonts w:ascii="Times New Roman" w:hAnsi="Times New Roman" w:eastAsia="標楷體"/>
                <w:b w:val="0"/>
                <w:sz w:val="21"/>
              </w:rPr>
              <w:t>1 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軟浮點，最耗時</w:t>
            </w:r>
          </w:p>
        </w:tc>
      </w:tr>
      <w:tr>
        <w:tc>
          <w:tcPr>
            <w:tcW w:type="dxa" w:w="1661"/>
          </w:tcPr>
          <w:p>
            <w:pPr>
              <w:jc w:val="left"/>
            </w:pPr>
            <w:r/>
            <w:r>
              <w:rPr>
                <w:rFonts w:ascii="Times New Roman" w:hAnsi="Times New Roman" w:eastAsia="標楷體"/>
                <w:b w:val="0"/>
                <w:sz w:val="21"/>
              </w:rPr>
              <w:t>動態阻抗更新</w:t>
            </w:r>
          </w:p>
        </w:tc>
        <w:tc>
          <w:tcPr>
            <w:tcW w:type="dxa" w:w="1661"/>
          </w:tcPr>
          <w:p>
            <w:pPr>
              <w:jc w:val="left"/>
            </w:pPr>
            <w:r/>
            <w:r>
              <w:rPr>
                <w:rFonts w:ascii="Times New Roman" w:hAnsi="Times New Roman" w:eastAsia="標楷體"/>
                <w:b w:val="0"/>
                <w:sz w:val="21"/>
              </w:rPr>
              <w:t>擾動事件（~60 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僅事件時觸發</w:t>
            </w:r>
          </w:p>
        </w:tc>
      </w:tr>
      <w:tr>
        <w:tc>
          <w:tcPr>
            <w:tcW w:type="dxa" w:w="1661"/>
          </w:tcPr>
          <w:p>
            <w:pPr>
              <w:jc w:val="left"/>
            </w:pPr>
            <w:r/>
            <w:r>
              <w:rPr>
                <w:rFonts w:ascii="Times New Roman" w:hAnsi="Times New Roman" w:eastAsia="標楷體"/>
                <w:b/>
                <w:sz w:val="21"/>
              </w:rPr>
              <w:t>三法並行峰值</w:t>
            </w:r>
          </w:p>
        </w:tc>
        <w:tc>
          <w:tcPr>
            <w:tcW w:type="dxa" w:w="1661"/>
          </w:tcPr>
          <w:p>
            <w:pPr>
              <w:jc w:val="left"/>
            </w:pPr>
            <w:r/>
            <w:r>
              <w:rPr>
                <w:rFonts w:ascii="Times New Roman" w:hAnsi="Times New Roman" w:eastAsia="標楷體"/>
                <w:b w:val="0"/>
                <w:sz w:val="21"/>
              </w:rPr>
              <w:t>1 s 邊界</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三法同秒更新之最壞情形</w:t>
            </w:r>
          </w:p>
        </w:tc>
      </w:tr>
    </w:tbl>
    <w:p>
      <w:pPr>
        <w:jc w:val="center"/>
      </w:pPr>
      <w:r>
        <w:rPr>
          <w:rFonts w:ascii="Times New Roman" w:hAnsi="Times New Roman" w:eastAsia="標楷體"/>
          <w:b/>
          <w:sz w:val="22"/>
        </w:rPr>
        <w:t>表 5-1　100 µs 系統節拍內之 CPU 負載分配（待第四章 footprint 量測完成後填入）</w:t>
      </w:r>
    </w:p>
    <w:p>
      <w:pPr>
        <w:spacing w:line="480" w:lineRule="exact"/>
        <w:ind w:firstLine="480"/>
        <w:jc w:val="both"/>
      </w:pPr>
      <w:r>
        <w:rPr>
          <w:rFonts w:ascii="Times New Roman" w:hAnsi="Times New Roman" w:eastAsia="標楷體"/>
          <w:b w:val="0"/>
          <w:sz w:val="24"/>
        </w:rPr>
        <w:t>預期結論為：三法（含並行）之估測更新即使集中於同一秒邊界，其總 CPU 佔用仍遠在 100 µs 預算之內，即時性無虞；EKF 之軟浮點負擔雖最重，但因每秒僅觸發一次，對整體 CPU 餘裕影響有限。此即「以較高單次運算量換取精度與強健性」在即時性層面仍可被本級微控制器吸收之佐證。</w:t>
      </w:r>
      <w:r>
        <w:rPr>
          <w:rFonts w:ascii="Times New Roman" w:hAnsi="Times New Roman" w:eastAsia="標楷體"/>
          <w:b w:val="0"/>
          <w:color w:val="C00000"/>
          <w:sz w:val="24"/>
        </w:rPr>
        <w:t>[待測]</w:t>
      </w:r>
      <w:r>
        <w:rPr>
          <w:rFonts w:ascii="Times New Roman" w:hAnsi="Times New Roman" w:eastAsia="標楷體"/>
          <w:b w:val="0"/>
          <w:sz w:val="24"/>
        </w:rPr>
        <w:t xml:space="preserve"> 上述佔用率數值待回填。</w:t>
      </w:r>
    </w:p>
    <w:p>
      <w:pPr>
        <w:spacing w:line="360" w:lineRule="exact"/>
        <w:jc w:val="left"/>
      </w:pPr>
      <w:r>
        <w:rPr>
          <w:rFonts w:ascii="Times New Roman" w:hAnsi="Times New Roman" w:eastAsia="標楷體"/>
          <w:b/>
          <w:sz w:val="28"/>
        </w:rPr>
        <w:t>5.3 fresh-cell baseline 三輪變異性與長期再現性分析（實測）</w:t>
      </w:r>
    </w:p>
    <w:p>
      <w:pPr>
        <w:spacing w:line="480" w:lineRule="exact"/>
        <w:ind w:firstLine="480"/>
        <w:jc w:val="both"/>
      </w:pPr>
      <w:r>
        <w:rPr>
          <w:rFonts w:ascii="Times New Roman" w:hAnsi="Times New Roman" w:eastAsia="標楷體"/>
          <w:b w:val="0"/>
          <w:sz w:val="24"/>
        </w:rPr>
        <w:t>本節以跨輪測試協定（第三章 3.6 節）累積之週期紀錄，回答兩個對全研究結論至關重要的問題：</w:t>
      </w:r>
      <w:r>
        <w:rPr>
          <w:rFonts w:ascii="Times New Roman" w:hAnsi="Times New Roman" w:eastAsia="標楷體"/>
          <w:b/>
          <w:sz w:val="24"/>
        </w:rPr>
        <w:t>(a) 測試平台的輪間再現性有多好？</w:t>
      </w:r>
      <w:r>
        <w:rPr>
          <w:rFonts w:ascii="Times New Roman" w:hAnsi="Times New Roman" w:eastAsia="標楷體"/>
          <w:b w:val="0"/>
          <w:sz w:val="24"/>
        </w:rPr>
        <w:t xml:space="preserve"> 此決定第四章所有「以庫倫容量為真值」之比較是否站得住腳。</w:t>
      </w:r>
      <w:r>
        <w:rPr>
          <w:rFonts w:ascii="Times New Roman" w:hAnsi="Times New Roman" w:eastAsia="標楷體"/>
          <w:b/>
          <w:sz w:val="24"/>
        </w:rPr>
        <w:t>(b) 觀測到的容量變化中，有多少是真實老化、有多少是量測噪聲？</w:t>
      </w:r>
      <w:r>
        <w:rPr>
          <w:rFonts w:ascii="Times New Roman" w:hAnsi="Times New Roman" w:eastAsia="標楷體"/>
          <w:b w:val="0"/>
          <w:sz w:val="24"/>
        </w:rPr>
        <w:t xml:space="preserve"> 此決定第四章 4.1.4 所述漂移討論的定量基礎。資料涵蓋 rounds 1–38（cycles 1–183，連續 2026-05-12 至 06-19）。</w:t>
      </w:r>
    </w:p>
    <w:p>
      <w:pPr>
        <w:spacing w:line="360" w:lineRule="exact"/>
        <w:jc w:val="left"/>
      </w:pPr>
      <w:r>
        <w:rPr>
          <w:rFonts w:ascii="Times New Roman" w:hAnsi="Times New Roman" w:eastAsia="標楷體"/>
          <w:b/>
          <w:sz w:val="26"/>
        </w:rPr>
        <w:t>5.3.1 fresh-cell 三輪變異性（量測噪聲下界）</w:t>
      </w:r>
    </w:p>
    <w:p>
      <w:pPr>
        <w:spacing w:line="480" w:lineRule="exact"/>
        <w:ind w:firstLine="480"/>
        <w:jc w:val="both"/>
      </w:pPr>
      <w:r>
        <w:rPr>
          <w:rFonts w:ascii="Times New Roman" w:hAnsi="Times New Roman" w:eastAsia="標楷體"/>
          <w:b w:val="0"/>
          <w:sz w:val="24"/>
        </w:rPr>
        <w:t>以最初三輪 fresh-cell baseline（rounds 1–3，電池尚未明顯老化）各四種放電倍率之實測放電容量，計算輪間標準差與變異係數（CV），結果如表 5-2。此 CV 即代表本平台「在電池狀態幾乎不變下，純由量測、協定、環境造成的再現性誤差」，構成後續老化判讀的噪聲下界。</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87"/>
        <w:gridCol w:w="1187"/>
        <w:gridCol w:w="1187"/>
        <w:gridCol w:w="1187"/>
        <w:gridCol w:w="1187"/>
        <w:gridCol w:w="1187"/>
        <w:gridCol w:w="1187"/>
      </w:tblGrid>
      <w:tr>
        <w:tc>
          <w:tcPr>
            <w:tcW w:type="dxa" w:w="1187"/>
            <w:shd w:val="clear" w:color="auto" w:fill="D9E2F3"/>
          </w:tcPr>
          <w:p>
            <w:pPr>
              <w:jc w:val="center"/>
            </w:pPr>
            <w:r/>
            <w:r>
              <w:rPr>
                <w:rFonts w:ascii="Times New Roman" w:hAnsi="Times New Roman" w:eastAsia="標楷體"/>
                <w:b/>
                <w:sz w:val="21"/>
              </w:rPr>
              <w:t>倍率</w:t>
            </w:r>
          </w:p>
        </w:tc>
        <w:tc>
          <w:tcPr>
            <w:tcW w:type="dxa" w:w="1187"/>
            <w:shd w:val="clear" w:color="auto" w:fill="D9E2F3"/>
          </w:tcPr>
          <w:p>
            <w:pPr>
              <w:jc w:val="center"/>
            </w:pPr>
            <w:r/>
            <w:r>
              <w:rPr>
                <w:rFonts w:ascii="Times New Roman" w:hAnsi="Times New Roman" w:eastAsia="標楷體"/>
                <w:b/>
                <w:sz w:val="21"/>
              </w:rPr>
              <w:t>Round 1 (mAh)</w:t>
            </w:r>
          </w:p>
        </w:tc>
        <w:tc>
          <w:tcPr>
            <w:tcW w:type="dxa" w:w="1187"/>
            <w:shd w:val="clear" w:color="auto" w:fill="D9E2F3"/>
          </w:tcPr>
          <w:p>
            <w:pPr>
              <w:jc w:val="center"/>
            </w:pPr>
            <w:r/>
            <w:r>
              <w:rPr>
                <w:rFonts w:ascii="Times New Roman" w:hAnsi="Times New Roman" w:eastAsia="標楷體"/>
                <w:b/>
                <w:sz w:val="21"/>
              </w:rPr>
              <w:t>Round 2 (mAh)</w:t>
            </w:r>
          </w:p>
        </w:tc>
        <w:tc>
          <w:tcPr>
            <w:tcW w:type="dxa" w:w="1187"/>
            <w:shd w:val="clear" w:color="auto" w:fill="D9E2F3"/>
          </w:tcPr>
          <w:p>
            <w:pPr>
              <w:jc w:val="center"/>
            </w:pPr>
            <w:r/>
            <w:r>
              <w:rPr>
                <w:rFonts w:ascii="Times New Roman" w:hAnsi="Times New Roman" w:eastAsia="標楷體"/>
                <w:b/>
                <w:sz w:val="21"/>
              </w:rPr>
              <w:t>Round 3 (mAh)</w:t>
            </w:r>
          </w:p>
        </w:tc>
        <w:tc>
          <w:tcPr>
            <w:tcW w:type="dxa" w:w="1187"/>
            <w:shd w:val="clear" w:color="auto" w:fill="D9E2F3"/>
          </w:tcPr>
          <w:p>
            <w:pPr>
              <w:jc w:val="center"/>
            </w:pPr>
            <w:r/>
            <w:r>
              <w:rPr>
                <w:rFonts w:ascii="Times New Roman" w:hAnsi="Times New Roman" w:eastAsia="標楷體"/>
                <w:b/>
                <w:sz w:val="21"/>
              </w:rPr>
              <w:t>平均 (mAh)</w:t>
            </w:r>
          </w:p>
        </w:tc>
        <w:tc>
          <w:tcPr>
            <w:tcW w:type="dxa" w:w="1187"/>
            <w:shd w:val="clear" w:color="auto" w:fill="D9E2F3"/>
          </w:tcPr>
          <w:p>
            <w:pPr>
              <w:jc w:val="center"/>
            </w:pPr>
            <w:r/>
            <w:r>
              <w:rPr>
                <w:rFonts w:ascii="Times New Roman" w:hAnsi="Times New Roman" w:eastAsia="標楷體"/>
                <w:b/>
                <w:sz w:val="21"/>
              </w:rPr>
              <w:t>標準差 (mAh)</w:t>
            </w:r>
          </w:p>
        </w:tc>
        <w:tc>
          <w:tcPr>
            <w:tcW w:type="dxa" w:w="1187"/>
            <w:shd w:val="clear" w:color="auto" w:fill="D9E2F3"/>
          </w:tcPr>
          <w:p>
            <w:pPr>
              <w:jc w:val="center"/>
            </w:pPr>
            <w:r/>
            <w:r>
              <w:rPr>
                <w:rFonts w:ascii="Times New Roman" w:hAnsi="Times New Roman" w:eastAsia="標楷體"/>
                <w:b/>
                <w:sz w:val="21"/>
              </w:rPr>
              <w:t>變異係數 CV</w:t>
            </w:r>
          </w:p>
        </w:tc>
      </w:tr>
      <w:tr>
        <w:tc>
          <w:tcPr>
            <w:tcW w:type="dxa" w:w="1187"/>
          </w:tcPr>
          <w:p>
            <w:pPr>
              <w:jc w:val="left"/>
            </w:pPr>
            <w:r/>
            <w:r>
              <w:rPr>
                <w:rFonts w:ascii="Times New Roman" w:hAnsi="Times New Roman" w:eastAsia="標楷體"/>
                <w:b w:val="0"/>
                <w:sz w:val="21"/>
              </w:rPr>
              <w:t>0.5C</w:t>
            </w:r>
          </w:p>
        </w:tc>
        <w:tc>
          <w:tcPr>
            <w:tcW w:type="dxa" w:w="1187"/>
          </w:tcPr>
          <w:p>
            <w:pPr>
              <w:jc w:val="left"/>
            </w:pPr>
            <w:r/>
            <w:r>
              <w:rPr>
                <w:rFonts w:ascii="Times New Roman" w:hAnsi="Times New Roman" w:eastAsia="標楷體"/>
                <w:b w:val="0"/>
                <w:sz w:val="21"/>
              </w:rPr>
              <w:t>1677.6</w:t>
            </w:r>
          </w:p>
        </w:tc>
        <w:tc>
          <w:tcPr>
            <w:tcW w:type="dxa" w:w="1187"/>
          </w:tcPr>
          <w:p>
            <w:pPr>
              <w:jc w:val="left"/>
            </w:pPr>
            <w:r/>
            <w:r>
              <w:rPr>
                <w:rFonts w:ascii="Times New Roman" w:hAnsi="Times New Roman" w:eastAsia="標楷體"/>
                <w:b w:val="0"/>
                <w:sz w:val="21"/>
              </w:rPr>
              <w:t>1661.9</w:t>
            </w:r>
          </w:p>
        </w:tc>
        <w:tc>
          <w:tcPr>
            <w:tcW w:type="dxa" w:w="1187"/>
          </w:tcPr>
          <w:p>
            <w:pPr>
              <w:jc w:val="left"/>
            </w:pPr>
            <w:r/>
            <w:r>
              <w:rPr>
                <w:rFonts w:ascii="Times New Roman" w:hAnsi="Times New Roman" w:eastAsia="標楷體"/>
                <w:b w:val="0"/>
                <w:sz w:val="21"/>
              </w:rPr>
              <w:t>1657.5</w:t>
            </w:r>
          </w:p>
        </w:tc>
        <w:tc>
          <w:tcPr>
            <w:tcW w:type="dxa" w:w="1187"/>
          </w:tcPr>
          <w:p>
            <w:pPr>
              <w:jc w:val="left"/>
            </w:pPr>
            <w:r/>
            <w:r>
              <w:rPr>
                <w:rFonts w:ascii="Times New Roman" w:hAnsi="Times New Roman" w:eastAsia="標楷體"/>
                <w:b w:val="0"/>
                <w:sz w:val="21"/>
              </w:rPr>
              <w:t>1665.7</w:t>
            </w:r>
          </w:p>
        </w:tc>
        <w:tc>
          <w:tcPr>
            <w:tcW w:type="dxa" w:w="1187"/>
          </w:tcPr>
          <w:p>
            <w:pPr>
              <w:jc w:val="left"/>
            </w:pPr>
            <w:r/>
            <w:r>
              <w:rPr>
                <w:rFonts w:ascii="Times New Roman" w:hAnsi="Times New Roman" w:eastAsia="標楷體"/>
                <w:b w:val="0"/>
                <w:sz w:val="21"/>
              </w:rPr>
              <w:t>8.64</w:t>
            </w:r>
          </w:p>
        </w:tc>
        <w:tc>
          <w:tcPr>
            <w:tcW w:type="dxa" w:w="1187"/>
          </w:tcPr>
          <w:p>
            <w:pPr>
              <w:jc w:val="left"/>
            </w:pPr>
            <w:r/>
            <w:r>
              <w:rPr>
                <w:rFonts w:ascii="Times New Roman" w:hAnsi="Times New Roman" w:eastAsia="標楷體"/>
                <w:b w:val="0"/>
                <w:sz w:val="21"/>
              </w:rPr>
              <w:t>0.519%</w:t>
            </w:r>
          </w:p>
        </w:tc>
      </w:tr>
      <w:tr>
        <w:tc>
          <w:tcPr>
            <w:tcW w:type="dxa" w:w="1187"/>
          </w:tcPr>
          <w:p>
            <w:pPr>
              <w:jc w:val="left"/>
            </w:pPr>
            <w:r/>
            <w:r>
              <w:rPr>
                <w:rFonts w:ascii="Times New Roman" w:hAnsi="Times New Roman" w:eastAsia="標楷體"/>
                <w:b w:val="0"/>
                <w:sz w:val="21"/>
              </w:rPr>
              <w:t>1.0C</w:t>
            </w:r>
          </w:p>
        </w:tc>
        <w:tc>
          <w:tcPr>
            <w:tcW w:type="dxa" w:w="1187"/>
          </w:tcPr>
          <w:p>
            <w:pPr>
              <w:jc w:val="left"/>
            </w:pPr>
            <w:r/>
            <w:r>
              <w:rPr>
                <w:rFonts w:ascii="Times New Roman" w:hAnsi="Times New Roman" w:eastAsia="標楷體"/>
                <w:b w:val="0"/>
                <w:sz w:val="21"/>
              </w:rPr>
              <w:t>1651.8</w:t>
            </w:r>
          </w:p>
        </w:tc>
        <w:tc>
          <w:tcPr>
            <w:tcW w:type="dxa" w:w="1187"/>
          </w:tcPr>
          <w:p>
            <w:pPr>
              <w:jc w:val="left"/>
            </w:pPr>
            <w:r/>
            <w:r>
              <w:rPr>
                <w:rFonts w:ascii="Times New Roman" w:hAnsi="Times New Roman" w:eastAsia="標楷體"/>
                <w:b w:val="0"/>
                <w:sz w:val="21"/>
              </w:rPr>
              <w:t>1660.0</w:t>
            </w:r>
          </w:p>
        </w:tc>
        <w:tc>
          <w:tcPr>
            <w:tcW w:type="dxa" w:w="1187"/>
          </w:tcPr>
          <w:p>
            <w:pPr>
              <w:jc w:val="left"/>
            </w:pPr>
            <w:r/>
            <w:r>
              <w:rPr>
                <w:rFonts w:ascii="Times New Roman" w:hAnsi="Times New Roman" w:eastAsia="標楷體"/>
                <w:b w:val="0"/>
                <w:sz w:val="21"/>
              </w:rPr>
              <w:t>1658.7</w:t>
            </w:r>
          </w:p>
        </w:tc>
        <w:tc>
          <w:tcPr>
            <w:tcW w:type="dxa" w:w="1187"/>
          </w:tcPr>
          <w:p>
            <w:pPr>
              <w:jc w:val="left"/>
            </w:pPr>
            <w:r/>
            <w:r>
              <w:rPr>
                <w:rFonts w:ascii="Times New Roman" w:hAnsi="Times New Roman" w:eastAsia="標楷體"/>
                <w:b w:val="0"/>
                <w:sz w:val="21"/>
              </w:rPr>
              <w:t>1656.8</w:t>
            </w:r>
          </w:p>
        </w:tc>
        <w:tc>
          <w:tcPr>
            <w:tcW w:type="dxa" w:w="1187"/>
          </w:tcPr>
          <w:p>
            <w:pPr>
              <w:jc w:val="left"/>
            </w:pPr>
            <w:r/>
            <w:r>
              <w:rPr>
                <w:rFonts w:ascii="Times New Roman" w:hAnsi="Times New Roman" w:eastAsia="標楷體"/>
                <w:b w:val="0"/>
                <w:sz w:val="21"/>
              </w:rPr>
              <w:t>3.60</w:t>
            </w:r>
          </w:p>
        </w:tc>
        <w:tc>
          <w:tcPr>
            <w:tcW w:type="dxa" w:w="1187"/>
          </w:tcPr>
          <w:p>
            <w:pPr>
              <w:jc w:val="left"/>
            </w:pPr>
            <w:r/>
            <w:r>
              <w:rPr>
                <w:rFonts w:ascii="Times New Roman" w:hAnsi="Times New Roman" w:eastAsia="標楷體"/>
                <w:b w:val="0"/>
                <w:sz w:val="21"/>
              </w:rPr>
              <w:t>0.217%</w:t>
            </w:r>
          </w:p>
        </w:tc>
      </w:tr>
      <w:tr>
        <w:tc>
          <w:tcPr>
            <w:tcW w:type="dxa" w:w="1187"/>
          </w:tcPr>
          <w:p>
            <w:pPr>
              <w:jc w:val="left"/>
            </w:pPr>
            <w:r/>
            <w:r>
              <w:rPr>
                <w:rFonts w:ascii="Times New Roman" w:hAnsi="Times New Roman" w:eastAsia="標楷體"/>
                <w:b w:val="0"/>
                <w:sz w:val="21"/>
              </w:rPr>
              <w:t>1.5C</w:t>
            </w:r>
          </w:p>
        </w:tc>
        <w:tc>
          <w:tcPr>
            <w:tcW w:type="dxa" w:w="1187"/>
          </w:tcPr>
          <w:p>
            <w:pPr>
              <w:jc w:val="left"/>
            </w:pPr>
            <w:r/>
            <w:r>
              <w:rPr>
                <w:rFonts w:ascii="Times New Roman" w:hAnsi="Times New Roman" w:eastAsia="標楷體"/>
                <w:b w:val="0"/>
                <w:sz w:val="21"/>
              </w:rPr>
              <w:t>1646.7</w:t>
            </w:r>
          </w:p>
        </w:tc>
        <w:tc>
          <w:tcPr>
            <w:tcW w:type="dxa" w:w="1187"/>
          </w:tcPr>
          <w:p>
            <w:pPr>
              <w:jc w:val="left"/>
            </w:pPr>
            <w:r/>
            <w:r>
              <w:rPr>
                <w:rFonts w:ascii="Times New Roman" w:hAnsi="Times New Roman" w:eastAsia="標楷體"/>
                <w:b w:val="0"/>
                <w:sz w:val="21"/>
              </w:rPr>
              <w:t>1657.4</w:t>
            </w:r>
          </w:p>
        </w:tc>
        <w:tc>
          <w:tcPr>
            <w:tcW w:type="dxa" w:w="1187"/>
          </w:tcPr>
          <w:p>
            <w:pPr>
              <w:jc w:val="left"/>
            </w:pPr>
            <w:r/>
            <w:r>
              <w:rPr>
                <w:rFonts w:ascii="Times New Roman" w:hAnsi="Times New Roman" w:eastAsia="標楷體"/>
                <w:b w:val="0"/>
                <w:sz w:val="21"/>
              </w:rPr>
              <w:t>1655.7</w:t>
            </w:r>
          </w:p>
        </w:tc>
        <w:tc>
          <w:tcPr>
            <w:tcW w:type="dxa" w:w="1187"/>
          </w:tcPr>
          <w:p>
            <w:pPr>
              <w:jc w:val="left"/>
            </w:pPr>
            <w:r/>
            <w:r>
              <w:rPr>
                <w:rFonts w:ascii="Times New Roman" w:hAnsi="Times New Roman" w:eastAsia="標楷體"/>
                <w:b w:val="0"/>
                <w:sz w:val="21"/>
              </w:rPr>
              <w:t>1653.3</w:t>
            </w:r>
          </w:p>
        </w:tc>
        <w:tc>
          <w:tcPr>
            <w:tcW w:type="dxa" w:w="1187"/>
          </w:tcPr>
          <w:p>
            <w:pPr>
              <w:jc w:val="left"/>
            </w:pPr>
            <w:r/>
            <w:r>
              <w:rPr>
                <w:rFonts w:ascii="Times New Roman" w:hAnsi="Times New Roman" w:eastAsia="標楷體"/>
                <w:b w:val="0"/>
                <w:sz w:val="21"/>
              </w:rPr>
              <w:t>4.68</w:t>
            </w:r>
          </w:p>
        </w:tc>
        <w:tc>
          <w:tcPr>
            <w:tcW w:type="dxa" w:w="1187"/>
          </w:tcPr>
          <w:p>
            <w:pPr>
              <w:jc w:val="left"/>
            </w:pPr>
            <w:r/>
            <w:r>
              <w:rPr>
                <w:rFonts w:ascii="Times New Roman" w:hAnsi="Times New Roman" w:eastAsia="標楷體"/>
                <w:b w:val="0"/>
                <w:sz w:val="21"/>
              </w:rPr>
              <w:t>0.283%</w:t>
            </w:r>
          </w:p>
        </w:tc>
      </w:tr>
      <w:tr>
        <w:tc>
          <w:tcPr>
            <w:tcW w:type="dxa" w:w="1187"/>
          </w:tcPr>
          <w:p>
            <w:pPr>
              <w:jc w:val="left"/>
            </w:pPr>
            <w:r/>
            <w:r>
              <w:rPr>
                <w:rFonts w:ascii="Times New Roman" w:hAnsi="Times New Roman" w:eastAsia="標楷體"/>
                <w:b w:val="0"/>
                <w:sz w:val="21"/>
              </w:rPr>
              <w:t>2.0C</w:t>
            </w:r>
          </w:p>
        </w:tc>
        <w:tc>
          <w:tcPr>
            <w:tcW w:type="dxa" w:w="1187"/>
          </w:tcPr>
          <w:p>
            <w:pPr>
              <w:jc w:val="left"/>
            </w:pPr>
            <w:r/>
            <w:r>
              <w:rPr>
                <w:rFonts w:ascii="Times New Roman" w:hAnsi="Times New Roman" w:eastAsia="標楷體"/>
                <w:b w:val="0"/>
                <w:sz w:val="21"/>
              </w:rPr>
              <w:t>1644.9</w:t>
            </w:r>
          </w:p>
        </w:tc>
        <w:tc>
          <w:tcPr>
            <w:tcW w:type="dxa" w:w="1187"/>
          </w:tcPr>
          <w:p>
            <w:pPr>
              <w:jc w:val="left"/>
            </w:pPr>
            <w:r/>
            <w:r>
              <w:rPr>
                <w:rFonts w:ascii="Times New Roman" w:hAnsi="Times New Roman" w:eastAsia="標楷體"/>
                <w:b w:val="0"/>
                <w:sz w:val="21"/>
              </w:rPr>
              <w:t>1652.1</w:t>
            </w:r>
          </w:p>
        </w:tc>
        <w:tc>
          <w:tcPr>
            <w:tcW w:type="dxa" w:w="1187"/>
          </w:tcPr>
          <w:p>
            <w:pPr>
              <w:jc w:val="left"/>
            </w:pPr>
            <w:r/>
            <w:r>
              <w:rPr>
                <w:rFonts w:ascii="Times New Roman" w:hAnsi="Times New Roman" w:eastAsia="標楷體"/>
                <w:b w:val="0"/>
                <w:sz w:val="21"/>
              </w:rPr>
              <w:t>1647.4</w:t>
            </w:r>
          </w:p>
        </w:tc>
        <w:tc>
          <w:tcPr>
            <w:tcW w:type="dxa" w:w="1187"/>
          </w:tcPr>
          <w:p>
            <w:pPr>
              <w:jc w:val="left"/>
            </w:pPr>
            <w:r/>
            <w:r>
              <w:rPr>
                <w:rFonts w:ascii="Times New Roman" w:hAnsi="Times New Roman" w:eastAsia="標楷體"/>
                <w:b w:val="0"/>
                <w:sz w:val="21"/>
              </w:rPr>
              <w:t>1648.1</w:t>
            </w:r>
          </w:p>
        </w:tc>
        <w:tc>
          <w:tcPr>
            <w:tcW w:type="dxa" w:w="1187"/>
          </w:tcPr>
          <w:p>
            <w:pPr>
              <w:jc w:val="left"/>
            </w:pPr>
            <w:r/>
            <w:r>
              <w:rPr>
                <w:rFonts w:ascii="Times New Roman" w:hAnsi="Times New Roman" w:eastAsia="標楷體"/>
                <w:b w:val="0"/>
                <w:sz w:val="21"/>
              </w:rPr>
              <w:t>2.96</w:t>
            </w:r>
          </w:p>
        </w:tc>
        <w:tc>
          <w:tcPr>
            <w:tcW w:type="dxa" w:w="1187"/>
          </w:tcPr>
          <w:p>
            <w:pPr>
              <w:jc w:val="left"/>
            </w:pPr>
            <w:r/>
            <w:r>
              <w:rPr>
                <w:rFonts w:ascii="Times New Roman" w:hAnsi="Times New Roman" w:eastAsia="標楷體"/>
                <w:b w:val="0"/>
                <w:sz w:val="21"/>
              </w:rPr>
              <w:t>0.179%</w:t>
            </w:r>
          </w:p>
        </w:tc>
      </w:tr>
    </w:tbl>
    <w:p>
      <w:pPr>
        <w:jc w:val="center"/>
      </w:pPr>
      <w:r>
        <w:rPr>
          <w:rFonts w:ascii="Times New Roman" w:hAnsi="Times New Roman" w:eastAsia="標楷體"/>
          <w:b/>
          <w:sz w:val="22"/>
        </w:rPr>
        <w:t>表 5-2　fresh-cell 三輪各倍率放電容量之輪間變異性（rounds 1–3 實測）</w:t>
      </w:r>
    </w:p>
    <w:p>
      <w:pPr>
        <w:spacing w:line="480" w:lineRule="exact"/>
        <w:ind w:firstLine="480"/>
        <w:jc w:val="both"/>
      </w:pPr>
      <w:r>
        <w:rPr>
          <w:rFonts w:ascii="Times New Roman" w:hAnsi="Times New Roman" w:eastAsia="標楷體"/>
          <w:b w:val="0"/>
          <w:sz w:val="24"/>
        </w:rPr>
        <w:t xml:space="preserve">三項觀察：(1) </w:t>
      </w:r>
      <w:r>
        <w:rPr>
          <w:rFonts w:ascii="Times New Roman" w:hAnsi="Times New Roman" w:eastAsia="標楷體"/>
          <w:b/>
          <w:sz w:val="24"/>
        </w:rPr>
        <w:t>輪間再現性極佳</w:t>
      </w:r>
      <w:r>
        <w:rPr>
          <w:rFonts w:ascii="Times New Roman" w:hAnsi="Times New Roman" w:eastAsia="標楷體"/>
          <w:b w:val="0"/>
          <w:sz w:val="24"/>
        </w:rPr>
        <w:t xml:space="preserve">——所有倍率的 CV 均 &lt; 0.52%，最佳者（2.0C）僅 0.18%。此驗證了第三章 INA226 校正（&lt; 1‰）、round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自動化協定與 BenchInterlock 安全鎖共同保障了量測的高度可重複性。(2) </w:t>
      </w:r>
      <w:r>
        <w:rPr>
          <w:rFonts w:ascii="Times New Roman" w:hAnsi="Times New Roman" w:eastAsia="標楷體"/>
          <w:b/>
          <w:sz w:val="24"/>
        </w:rPr>
        <w:t>低倍率變異略大</w:t>
      </w:r>
      <w:r>
        <w:rPr>
          <w:rFonts w:ascii="Times New Roman" w:hAnsi="Times New Roman" w:eastAsia="標楷體"/>
          <w:b w:val="0"/>
          <w:sz w:val="24"/>
        </w:rPr>
        <w:t>（0.5C 之 CV 0.52% &gt; 2.0C 之 0.18%），與第四章 4.3.4 所述「低倍率擾動 SNR 較差」之趨勢一致，源於 0.5C 之 round 1 略偏高（1677.6 mAh，可能含微量化成餘量）。(3) 此 &lt; 0.52% 的噪聲下界，是判讀「容量變化是否為真實老化」的解析度門檻——任何小於此幅度的變化均不應被解讀為老化。</w:t>
      </w:r>
    </w:p>
    <w:p>
      <w:pPr>
        <w:spacing w:line="360" w:lineRule="exact"/>
        <w:jc w:val="left"/>
      </w:pPr>
      <w:r>
        <w:rPr>
          <w:rFonts w:ascii="Times New Roman" w:hAnsi="Times New Roman" w:eastAsia="標楷體"/>
          <w:b/>
          <w:sz w:val="26"/>
        </w:rPr>
        <w:t>5.3.2 長期容量趨勢（真實老化訊號）</w:t>
      </w:r>
    </w:p>
    <w:p>
      <w:pPr>
        <w:spacing w:line="480" w:lineRule="exact"/>
        <w:ind w:firstLine="480"/>
        <w:jc w:val="both"/>
      </w:pPr>
      <w:r>
        <w:rPr>
          <w:rFonts w:ascii="Times New Roman" w:hAnsi="Times New Roman" w:eastAsia="標楷體"/>
          <w:b w:val="0"/>
          <w:sz w:val="24"/>
        </w:rPr>
        <w:t>以 0.5C 放電容量保持率（相對標稱 1664 mAh）逐輪追蹤 38 輪之趨勢，摘要如表 5-3。</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階段</w:t>
            </w:r>
          </w:p>
        </w:tc>
        <w:tc>
          <w:tcPr>
            <w:tcW w:type="dxa" w:w="1661"/>
            <w:shd w:val="clear" w:color="auto" w:fill="D9E2F3"/>
          </w:tcPr>
          <w:p>
            <w:pPr>
              <w:jc w:val="center"/>
            </w:pPr>
            <w:r/>
            <w:r>
              <w:rPr>
                <w:rFonts w:ascii="Times New Roman" w:hAnsi="Times New Roman" w:eastAsia="標楷體"/>
                <w:b/>
                <w:sz w:val="21"/>
              </w:rPr>
              <w:t>Round</w:t>
            </w:r>
          </w:p>
        </w:tc>
        <w:tc>
          <w:tcPr>
            <w:tcW w:type="dxa" w:w="1661"/>
            <w:shd w:val="clear" w:color="auto" w:fill="D9E2F3"/>
          </w:tcPr>
          <w:p>
            <w:pPr>
              <w:jc w:val="center"/>
            </w:pPr>
            <w:r/>
            <w:r>
              <w:rPr>
                <w:rFonts w:ascii="Times New Roman" w:hAnsi="Times New Roman" w:eastAsia="標楷體"/>
                <w:b/>
                <w:sz w:val="21"/>
              </w:rPr>
              <w:t>日期</w:t>
            </w:r>
          </w:p>
        </w:tc>
        <w:tc>
          <w:tcPr>
            <w:tcW w:type="dxa" w:w="1661"/>
            <w:shd w:val="clear" w:color="auto" w:fill="D9E2F3"/>
          </w:tcPr>
          <w:p>
            <w:pPr>
              <w:jc w:val="center"/>
            </w:pPr>
            <w:r/>
            <w:r>
              <w:rPr>
                <w:rFonts w:ascii="Times New Roman" w:hAnsi="Times New Roman" w:eastAsia="標楷體"/>
                <w:b/>
                <w:sz w:val="21"/>
              </w:rPr>
              <w:t>0.5C 保持率</w:t>
            </w:r>
          </w:p>
        </w:tc>
        <w:tc>
          <w:tcPr>
            <w:tcW w:type="dxa" w:w="1661"/>
            <w:shd w:val="clear" w:color="auto" w:fill="D9E2F3"/>
          </w:tcPr>
          <w:p>
            <w:pPr>
              <w:jc w:val="center"/>
            </w:pPr>
            <w:r/>
            <w:r>
              <w:rPr>
                <w:rFonts w:ascii="Times New Roman" w:hAnsi="Times New Roman" w:eastAsia="標楷體"/>
                <w:b/>
                <w:sz w:val="21"/>
              </w:rPr>
              <w:t>0.5C 容量 (mAh)</w:t>
            </w:r>
          </w:p>
        </w:tc>
      </w:tr>
      <w:tr>
        <w:tc>
          <w:tcPr>
            <w:tcW w:type="dxa" w:w="1661"/>
          </w:tcPr>
          <w:p>
            <w:pPr>
              <w:jc w:val="left"/>
            </w:pPr>
            <w:r/>
            <w:r>
              <w:rPr>
                <w:rFonts w:ascii="Times New Roman" w:hAnsi="Times New Roman" w:eastAsia="標楷體"/>
                <w:b w:val="0"/>
                <w:sz w:val="21"/>
              </w:rPr>
              <w:t>初始</w:t>
            </w:r>
          </w:p>
        </w:tc>
        <w:tc>
          <w:tcPr>
            <w:tcW w:type="dxa" w:w="1661"/>
          </w:tcPr>
          <w:p>
            <w:pPr>
              <w:jc w:val="left"/>
            </w:pPr>
            <w:r/>
            <w:r>
              <w:rPr>
                <w:rFonts w:ascii="Times New Roman" w:hAnsi="Times New Roman" w:eastAsia="標楷體"/>
                <w:b w:val="0"/>
                <w:sz w:val="21"/>
              </w:rPr>
              <w:t>1</w:t>
            </w:r>
          </w:p>
        </w:tc>
        <w:tc>
          <w:tcPr>
            <w:tcW w:type="dxa" w:w="1661"/>
          </w:tcPr>
          <w:p>
            <w:pPr>
              <w:jc w:val="left"/>
            </w:pPr>
            <w:r/>
            <w:r>
              <w:rPr>
                <w:rFonts w:ascii="Times New Roman" w:hAnsi="Times New Roman" w:eastAsia="標楷體"/>
                <w:b w:val="0"/>
                <w:sz w:val="21"/>
              </w:rPr>
              <w:t>2026-05-12</w:t>
            </w:r>
          </w:p>
        </w:tc>
        <w:tc>
          <w:tcPr>
            <w:tcW w:type="dxa" w:w="1661"/>
          </w:tcPr>
          <w:p>
            <w:pPr>
              <w:jc w:val="left"/>
            </w:pPr>
            <w:r/>
            <w:r>
              <w:rPr>
                <w:rFonts w:ascii="Times New Roman" w:hAnsi="Times New Roman" w:eastAsia="標楷體"/>
                <w:b w:val="0"/>
                <w:sz w:val="21"/>
              </w:rPr>
              <w:t>100.76%</w:t>
            </w:r>
          </w:p>
        </w:tc>
        <w:tc>
          <w:tcPr>
            <w:tcW w:type="dxa" w:w="1661"/>
          </w:tcPr>
          <w:p>
            <w:pPr>
              <w:jc w:val="left"/>
            </w:pPr>
            <w:r/>
            <w:r>
              <w:rPr>
                <w:rFonts w:ascii="Times New Roman" w:hAnsi="Times New Roman" w:eastAsia="標楷體"/>
                <w:b w:val="0"/>
                <w:sz w:val="21"/>
              </w:rPr>
              <w:t>1677.6</w:t>
            </w:r>
          </w:p>
        </w:tc>
      </w:tr>
      <w:tr>
        <w:tc>
          <w:tcPr>
            <w:tcW w:type="dxa" w:w="1661"/>
          </w:tcPr>
          <w:p>
            <w:pPr>
              <w:jc w:val="left"/>
            </w:pPr>
            <w:r/>
            <w:r>
              <w:rPr>
                <w:rFonts w:ascii="Times New Roman" w:hAnsi="Times New Roman" w:eastAsia="標楷體"/>
                <w:b w:val="0"/>
                <w:sz w:val="21"/>
              </w:rPr>
              <w:t>早期穩定</w:t>
            </w:r>
          </w:p>
        </w:tc>
        <w:tc>
          <w:tcPr>
            <w:tcW w:type="dxa" w:w="1661"/>
          </w:tcPr>
          <w:p>
            <w:pPr>
              <w:jc w:val="left"/>
            </w:pPr>
            <w:r/>
            <w:r>
              <w:rPr>
                <w:rFonts w:ascii="Times New Roman" w:hAnsi="Times New Roman" w:eastAsia="標楷體"/>
                <w:b w:val="0"/>
                <w:sz w:val="21"/>
              </w:rPr>
              <w:t>11</w:t>
            </w:r>
          </w:p>
        </w:tc>
        <w:tc>
          <w:tcPr>
            <w:tcW w:type="dxa" w:w="1661"/>
          </w:tcPr>
          <w:p>
            <w:pPr>
              <w:jc w:val="left"/>
            </w:pPr>
            <w:r/>
            <w:r>
              <w:rPr>
                <w:rFonts w:ascii="Times New Roman" w:hAnsi="Times New Roman" w:eastAsia="標楷體"/>
                <w:b w:val="0"/>
                <w:sz w:val="21"/>
              </w:rPr>
              <w:t>2026-05-22</w:t>
            </w:r>
          </w:p>
        </w:tc>
        <w:tc>
          <w:tcPr>
            <w:tcW w:type="dxa" w:w="1661"/>
          </w:tcPr>
          <w:p>
            <w:pPr>
              <w:jc w:val="left"/>
            </w:pPr>
            <w:r/>
            <w:r>
              <w:rPr>
                <w:rFonts w:ascii="Times New Roman" w:hAnsi="Times New Roman" w:eastAsia="標楷體"/>
                <w:b w:val="0"/>
                <w:sz w:val="21"/>
              </w:rPr>
              <w:t>99.30%</w:t>
            </w:r>
          </w:p>
        </w:tc>
        <w:tc>
          <w:tcPr>
            <w:tcW w:type="dxa" w:w="1661"/>
          </w:tcPr>
          <w:p>
            <w:pPr>
              <w:jc w:val="left"/>
            </w:pPr>
            <w:r/>
            <w:r>
              <w:rPr>
                <w:rFonts w:ascii="Times New Roman" w:hAnsi="Times New Roman" w:eastAsia="標楷體"/>
                <w:b w:val="0"/>
                <w:sz w:val="21"/>
              </w:rPr>
              <w:t>1653.4</w:t>
            </w:r>
          </w:p>
        </w:tc>
      </w:tr>
      <w:tr>
        <w:tc>
          <w:tcPr>
            <w:tcW w:type="dxa" w:w="1661"/>
          </w:tcPr>
          <w:p>
            <w:pPr>
              <w:jc w:val="left"/>
            </w:pPr>
            <w:r/>
            <w:r>
              <w:rPr>
                <w:rFonts w:ascii="Times New Roman" w:hAnsi="Times New Roman" w:eastAsia="標楷體"/>
                <w:b w:val="0"/>
                <w:sz w:val="21"/>
              </w:rPr>
              <w:t>中期</w:t>
            </w:r>
          </w:p>
        </w:tc>
        <w:tc>
          <w:tcPr>
            <w:tcW w:type="dxa" w:w="1661"/>
          </w:tcPr>
          <w:p>
            <w:pPr>
              <w:jc w:val="left"/>
            </w:pPr>
            <w:r/>
            <w:r>
              <w:rPr>
                <w:rFonts w:ascii="Times New Roman" w:hAnsi="Times New Roman" w:eastAsia="標楷體"/>
                <w:b w:val="0"/>
                <w:sz w:val="21"/>
              </w:rPr>
              <w:t>23</w:t>
            </w:r>
          </w:p>
        </w:tc>
        <w:tc>
          <w:tcPr>
            <w:tcW w:type="dxa" w:w="1661"/>
          </w:tcPr>
          <w:p>
            <w:pPr>
              <w:jc w:val="left"/>
            </w:pPr>
            <w:r/>
            <w:r>
              <w:rPr>
                <w:rFonts w:ascii="Times New Roman" w:hAnsi="Times New Roman" w:eastAsia="標楷體"/>
                <w:b w:val="0"/>
                <w:sz w:val="21"/>
              </w:rPr>
              <w:t>2026-06-02</w:t>
            </w:r>
          </w:p>
        </w:tc>
        <w:tc>
          <w:tcPr>
            <w:tcW w:type="dxa" w:w="1661"/>
          </w:tcPr>
          <w:p>
            <w:pPr>
              <w:jc w:val="left"/>
            </w:pPr>
            <w:r/>
            <w:r>
              <w:rPr>
                <w:rFonts w:ascii="Times New Roman" w:hAnsi="Times New Roman" w:eastAsia="標楷體"/>
                <w:b w:val="0"/>
                <w:sz w:val="21"/>
              </w:rPr>
              <w:t>98.27%</w:t>
            </w:r>
          </w:p>
        </w:tc>
        <w:tc>
          <w:tcPr>
            <w:tcW w:type="dxa" w:w="1661"/>
          </w:tcPr>
          <w:p>
            <w:pPr>
              <w:jc w:val="left"/>
            </w:pPr>
            <w:r/>
            <w:r>
              <w:rPr>
                <w:rFonts w:ascii="Times New Roman" w:hAnsi="Times New Roman" w:eastAsia="標楷體"/>
                <w:b w:val="0"/>
                <w:sz w:val="21"/>
              </w:rPr>
              <w:t>1636.3</w:t>
            </w:r>
          </w:p>
        </w:tc>
      </w:tr>
      <w:tr>
        <w:tc>
          <w:tcPr>
            <w:tcW w:type="dxa" w:w="1661"/>
          </w:tcPr>
          <w:p>
            <w:pPr>
              <w:jc w:val="left"/>
            </w:pPr>
            <w:r/>
            <w:r>
              <w:rPr>
                <w:rFonts w:ascii="Times New Roman" w:hAnsi="Times New Roman" w:eastAsia="標楷體"/>
                <w:b w:val="0"/>
                <w:sz w:val="21"/>
              </w:rPr>
              <w:t>後期</w:t>
            </w:r>
          </w:p>
        </w:tc>
        <w:tc>
          <w:tcPr>
            <w:tcW w:type="dxa" w:w="1661"/>
          </w:tcPr>
          <w:p>
            <w:pPr>
              <w:jc w:val="left"/>
            </w:pPr>
            <w:r/>
            <w:r>
              <w:rPr>
                <w:rFonts w:ascii="Times New Roman" w:hAnsi="Times New Roman" w:eastAsia="標楷體"/>
                <w:b w:val="0"/>
                <w:sz w:val="21"/>
              </w:rPr>
              <w:t>34</w:t>
            </w:r>
          </w:p>
        </w:tc>
        <w:tc>
          <w:tcPr>
            <w:tcW w:type="dxa" w:w="1661"/>
          </w:tcPr>
          <w:p>
            <w:pPr>
              <w:jc w:val="left"/>
            </w:pPr>
            <w:r/>
            <w:r>
              <w:rPr>
                <w:rFonts w:ascii="Times New Roman" w:hAnsi="Times New Roman" w:eastAsia="標楷體"/>
                <w:b w:val="0"/>
                <w:sz w:val="21"/>
              </w:rPr>
              <w:t>2026-06-14</w:t>
            </w:r>
          </w:p>
        </w:tc>
        <w:tc>
          <w:tcPr>
            <w:tcW w:type="dxa" w:w="1661"/>
          </w:tcPr>
          <w:p>
            <w:pPr>
              <w:jc w:val="left"/>
            </w:pPr>
            <w:r/>
            <w:r>
              <w:rPr>
                <w:rFonts w:ascii="Times New Roman" w:hAnsi="Times New Roman" w:eastAsia="標楷體"/>
                <w:b w:val="0"/>
                <w:sz w:val="21"/>
              </w:rPr>
              <w:t>97.45%</w:t>
            </w:r>
          </w:p>
        </w:tc>
        <w:tc>
          <w:tcPr>
            <w:tcW w:type="dxa" w:w="1661"/>
          </w:tcPr>
          <w:p>
            <w:pPr>
              <w:jc w:val="left"/>
            </w:pPr>
            <w:r/>
            <w:r>
              <w:rPr>
                <w:rFonts w:ascii="Times New Roman" w:hAnsi="Times New Roman" w:eastAsia="標楷體"/>
                <w:b w:val="0"/>
                <w:sz w:val="21"/>
              </w:rPr>
              <w:t>1622.5</w:t>
            </w:r>
          </w:p>
        </w:tc>
      </w:tr>
      <w:tr>
        <w:tc>
          <w:tcPr>
            <w:tcW w:type="dxa" w:w="1661"/>
          </w:tcPr>
          <w:p>
            <w:pPr>
              <w:jc w:val="left"/>
            </w:pPr>
            <w:r/>
            <w:r>
              <w:rPr>
                <w:rFonts w:ascii="Times New Roman" w:hAnsi="Times New Roman" w:eastAsia="標楷體"/>
                <w:b w:val="0"/>
                <w:sz w:val="21"/>
              </w:rPr>
              <w:t>最新</w:t>
            </w:r>
          </w:p>
        </w:tc>
        <w:tc>
          <w:tcPr>
            <w:tcW w:type="dxa" w:w="1661"/>
          </w:tcPr>
          <w:p>
            <w:pPr>
              <w:jc w:val="left"/>
            </w:pPr>
            <w:r/>
            <w:r>
              <w:rPr>
                <w:rFonts w:ascii="Times New Roman" w:hAnsi="Times New Roman" w:eastAsia="標楷體"/>
                <w:b w:val="0"/>
                <w:sz w:val="21"/>
              </w:rPr>
              <w:t>38</w:t>
            </w:r>
          </w:p>
        </w:tc>
        <w:tc>
          <w:tcPr>
            <w:tcW w:type="dxa" w:w="1661"/>
          </w:tcPr>
          <w:p>
            <w:pPr>
              <w:jc w:val="left"/>
            </w:pPr>
            <w:r/>
            <w:r>
              <w:rPr>
                <w:rFonts w:ascii="Times New Roman" w:hAnsi="Times New Roman" w:eastAsia="標楷體"/>
                <w:b w:val="0"/>
                <w:sz w:val="21"/>
              </w:rPr>
              <w:t>2026-06-19</w:t>
            </w:r>
          </w:p>
        </w:tc>
        <w:tc>
          <w:tcPr>
            <w:tcW w:type="dxa" w:w="1661"/>
          </w:tcPr>
          <w:p>
            <w:pPr>
              <w:jc w:val="left"/>
            </w:pPr>
            <w:r/>
            <w:r>
              <w:rPr>
                <w:rFonts w:ascii="Times New Roman" w:hAnsi="Times New Roman" w:eastAsia="標楷體"/>
                <w:b w:val="0"/>
                <w:sz w:val="21"/>
              </w:rPr>
              <w:t>97.03%</w:t>
            </w:r>
          </w:p>
        </w:tc>
        <w:tc>
          <w:tcPr>
            <w:tcW w:type="dxa" w:w="1661"/>
          </w:tcPr>
          <w:p>
            <w:pPr>
              <w:jc w:val="left"/>
            </w:pPr>
            <w:r/>
            <w:r>
              <w:rPr>
                <w:rFonts w:ascii="Times New Roman" w:hAnsi="Times New Roman" w:eastAsia="標楷體"/>
                <w:b w:val="0"/>
                <w:sz w:val="21"/>
              </w:rPr>
              <w:t>1615.5</w:t>
            </w:r>
          </w:p>
        </w:tc>
      </w:tr>
    </w:tbl>
    <w:p>
      <w:pPr>
        <w:jc w:val="center"/>
      </w:pPr>
      <w:r>
        <w:rPr>
          <w:rFonts w:ascii="Times New Roman" w:hAnsi="Times New Roman" w:eastAsia="標楷體"/>
          <w:b/>
          <w:sz w:val="22"/>
        </w:rPr>
        <w:t>表 5-3　0.5C 放電容量保持率之長期趨勢（rounds 1–38 實測，摘錄關鍵輪次）</w:t>
      </w:r>
    </w:p>
    <w:p>
      <w:pPr>
        <w:spacing w:line="480" w:lineRule="exact"/>
        <w:ind w:firstLine="480"/>
        <w:jc w:val="both"/>
      </w:pPr>
      <w:r>
        <w:rPr>
          <w:rFonts w:ascii="Times New Roman" w:hAnsi="Times New Roman" w:eastAsia="標楷體"/>
          <w:b w:val="0"/>
          <w:sz w:val="24"/>
        </w:rPr>
        <w:t>自 round 1 至 round 38，0.5C 容量保持率自 100.76% 緩降至 97.03%，</w:t>
      </w:r>
      <w:r>
        <w:rPr>
          <w:rFonts w:ascii="Times New Roman" w:hAnsi="Times New Roman" w:eastAsia="標楷體"/>
          <w:b/>
          <w:sz w:val="24"/>
        </w:rPr>
        <w:t>累計衰退約 3.7%</w:t>
      </w:r>
      <w:r>
        <w:rPr>
          <w:rFonts w:ascii="Times New Roman" w:hAnsi="Times New Roman" w:eastAsia="標楷體"/>
          <w:b w:val="0"/>
          <w:sz w:val="24"/>
        </w:rPr>
        <w:t>，呈大致單調的緩降趨勢（中段偶有 ±0.5% 的輪間起伏，落在 5.3.1 之噪聲帶內）。</w:t>
      </w:r>
    </w:p>
    <w:p>
      <w:pPr>
        <w:spacing w:line="480" w:lineRule="exact"/>
        <w:ind w:firstLine="480"/>
        <w:jc w:val="both"/>
      </w:pPr>
      <w:r>
        <w:rPr>
          <w:rFonts w:ascii="Times New Roman" w:hAnsi="Times New Roman" w:eastAsia="標楷體"/>
          <w:b/>
          <w:sz w:val="24"/>
        </w:rPr>
        <w:t>老化與噪聲之分離</w:t>
      </w:r>
      <w:r>
        <w:rPr>
          <w:rFonts w:ascii="Times New Roman" w:hAnsi="Times New Roman" w:eastAsia="標楷體"/>
          <w:b w:val="0"/>
          <w:sz w:val="24"/>
        </w:rPr>
        <w:t>：將 5.3.1 之噪聲下界（CV &lt; 0.52%）與 5.3.2 之長期衰退（~3.7%）並置，可得一明確結論——</w:t>
      </w:r>
      <w:r>
        <w:rPr>
          <w:rFonts w:ascii="Times New Roman" w:hAnsi="Times New Roman" w:eastAsia="標楷體"/>
          <w:b/>
          <w:sz w:val="24"/>
        </w:rPr>
        <w:t>長期衰退幅度（3.7%）顯著大於量測噪聲（&lt; 0.52%），兩者相差約 7 倍</w:t>
      </w:r>
      <w:r>
        <w:rPr>
          <w:rFonts w:ascii="Times New Roman" w:hAnsi="Times New Roman" w:eastAsia="標楷體"/>
          <w:b w:val="0"/>
          <w:sz w:val="24"/>
        </w:rPr>
        <w:t>，故所觀測到的容量緩降為</w:t>
      </w:r>
      <w:r>
        <w:rPr>
          <w:rFonts w:ascii="Times New Roman" w:hAnsi="Times New Roman" w:eastAsia="標楷體"/>
          <w:b/>
          <w:sz w:val="24"/>
        </w:rPr>
        <w:t>真實老化訊號</w:t>
      </w:r>
      <w:r>
        <w:rPr>
          <w:rFonts w:ascii="Times New Roman" w:hAnsi="Times New Roman" w:eastAsia="標楷體"/>
          <w:b w:val="0"/>
          <w:sz w:val="24"/>
        </w:rPr>
        <w:t>，而非量測再現性誤差所致。此分離正當化了第四章 4.1.4 對「庫倫容量真值之漂移侷限」的處理方式：在</w:t>
      </w:r>
      <w:r>
        <w:rPr>
          <w:rFonts w:ascii="Times New Roman" w:hAnsi="Times New Roman" w:eastAsia="標楷體"/>
          <w:b/>
          <w:sz w:val="24"/>
        </w:rPr>
        <w:t>單一 cycle 內</w:t>
      </w:r>
      <w:r>
        <w:rPr>
          <w:rFonts w:ascii="Times New Roman" w:hAnsi="Times New Roman" w:eastAsia="標楷體"/>
          <w:b w:val="0"/>
          <w:sz w:val="24"/>
        </w:rPr>
        <w:t xml:space="preserve">以實測 q</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正規化的庫倫 SOC 為可信真值（cycle 內無顯著老化），而跨 cycle 的容量變化則需如本節以三輪 baseline 之 CV 為基準逐輪扣除噪聲後解讀。</w:t>
      </w:r>
    </w:p>
    <w:p>
      <w:pPr>
        <w:spacing w:line="480" w:lineRule="exact"/>
        <w:ind w:firstLine="480"/>
        <w:jc w:val="both"/>
      </w:pPr>
      <w:r>
        <w:rPr>
          <w:rFonts w:ascii="Times New Roman" w:hAnsi="Times New Roman" w:eastAsia="標楷體"/>
          <w:b w:val="0"/>
          <w:sz w:val="24"/>
        </w:rPr>
        <w:t>此結果亦為第六章 future work 之 SOH 估測提供了實證基礎：本電池在受控深循環下已展現可量測、可分離的老化軌跡（38 輪約 3.7%），是 SOH 演算法（如容量衰退追蹤、內阻成長法）日後驗證的天然資料集。</w:t>
      </w:r>
    </w:p>
    <w:p>
      <w:pPr>
        <w:spacing w:line="360" w:lineRule="exact"/>
        <w:jc w:val="left"/>
      </w:pPr>
      <w:r>
        <w:rPr>
          <w:rFonts w:ascii="Times New Roman" w:hAnsi="Times New Roman" w:eastAsia="標楷體"/>
          <w:b/>
          <w:sz w:val="28"/>
        </w:rPr>
        <w:t>5.4 失敗案例與工程教訓</w:t>
      </w:r>
    </w:p>
    <w:p>
      <w:pPr>
        <w:spacing w:line="480" w:lineRule="exact"/>
        <w:ind w:firstLine="480"/>
        <w:jc w:val="both"/>
      </w:pPr>
      <w:r>
        <w:rPr>
          <w:rFonts w:ascii="Times New Roman" w:hAnsi="Times New Roman" w:eastAsia="標楷體"/>
          <w:b w:val="0"/>
          <w:sz w:val="24"/>
        </w:rPr>
        <w:t xml:space="preserve">本平台之穩定運行並非一蹴可幾，整合過程中累積之失敗案例對「嵌入式量測平台之可靠性設計」具有方法學價值，故如實彙整如下。這些教訓多源於</w:t>
      </w:r>
      <w:r>
        <w:rPr>
          <w:rFonts w:ascii="Times New Roman" w:hAnsi="Times New Roman" w:eastAsia="標楷體"/>
          <w:b w:val="true"/>
          <w:sz w:val="24"/>
        </w:rPr>
        <w:t xml:space="preserve">裸機即時系統的時序陷阱</w:t>
      </w:r>
      <w:r>
        <w:rPr>
          <w:rFonts w:ascii="Times New Roman" w:hAnsi="Times New Roman" w:eastAsia="標楷體"/>
          <w:b w:val="0"/>
          <w:sz w:val="24"/>
        </w:rPr>
        <w:t xml:space="preserve">，對任何欲自建電池測試平台者皆有參考意義。</w:t>
      </w:r>
    </w:p>
    <w:p>
      <w:pPr>
        <w:spacing w:line="360" w:lineRule="exact"/>
        <w:jc w:val="left"/>
      </w:pPr>
      <w:r>
        <w:rPr>
          <w:rFonts w:ascii="Times New Roman" w:hAnsi="Times New Roman" w:eastAsia="標楷體"/>
          <w:b w:val="0"/>
          <w:sz w:val="26"/>
        </w:rPr>
        <w:t xml:space="preserve">5.4.1 裸機即時系統的時序陷阱</w:t>
      </w:r>
    </w:p>
    <w:p>
      <w:pPr>
        <w:spacing w:line="480" w:lineRule="exact"/>
        <w:ind w:firstLine="480"/>
        <w:jc w:val="both"/>
      </w:pPr>
      <w:r>
        <w:rPr>
          <w:rFonts w:ascii="Times New Roman" w:hAnsi="Times New Roman" w:eastAsia="標楷體"/>
          <w:b/>
          <w:sz w:val="24"/>
        </w:rPr>
        <w:t>單點誤觸發（t=0 false termination）</w:t>
      </w:r>
      <w:r>
        <w:rPr>
          <w:rFonts w:ascii="Times New Roman" w:hAnsi="Times New Roman" w:eastAsia="標楷體"/>
          <w:b w:val="0"/>
          <w:sz w:val="24"/>
        </w:rPr>
        <w:t xml:space="preserve">：充電充飽判斷若僅看單一取樣點，當電池隔夜靜置後 OCV 已接近充電截止電壓（OCV ≈ 4.19 V，距 V</w:t>
      </w:r>
      <w:r>
        <w:rPr>
          <w:rFonts w:ascii="Times New Roman" w:hAnsi="Times New Roman" w:eastAsia="標楷體"/>
          <w:b w:val="0"/>
          <w:sz w:val="24"/>
          <w:vertAlign w:val="subscript"/>
        </w:rPr>
        <w:t xml:space="preserve">cv</w:t>
      </w:r>
      <w:r>
        <w:rPr>
          <w:rFonts w:ascii="Times New Roman" w:hAnsi="Times New Roman" w:eastAsia="標楷體"/>
          <w:b w:val="0"/>
          <w:sz w:val="24"/>
        </w:rPr>
        <w:t xml:space="preserve"> 僅 10 mV）、且電源尚未 ramp 使電流為 0 時，「電壓達標且電流夠小」之條件會在 t=0 瞬間成立，使整個充電步驟被誤判為已完成而跳過（ah</w:t>
      </w:r>
      <w:r>
        <w:rPr>
          <w:rFonts w:ascii="Times New Roman" w:hAnsi="Times New Roman" w:eastAsia="標楷體"/>
          <w:b w:val="0"/>
          <w:sz w:val="24"/>
          <w:vertAlign w:val="subscript"/>
        </w:rPr>
        <w:t xml:space="preserve">in</w:t>
      </w:r>
      <w:r>
        <w:rPr>
          <w:rFonts w:ascii="Times New Roman" w:hAnsi="Times New Roman" w:eastAsia="標楷體"/>
          <w:b w:val="0"/>
          <w:sz w:val="24"/>
        </w:rPr>
        <w:t xml:space="preserve"> = 0）。</w:t>
      </w:r>
      <w:r>
        <w:rPr>
          <w:rFonts w:ascii="Times New Roman" w:hAnsi="Times New Roman" w:eastAsia="標楷體"/>
          <w:b/>
          <w:sz w:val="24"/>
        </w:rPr>
        <w:t>教訓</w:t>
      </w:r>
      <w:r>
        <w:rPr>
          <w:rFonts w:ascii="Times New Roman" w:hAnsi="Times New Roman" w:eastAsia="標楷體"/>
          <w:b w:val="0"/>
          <w:sz w:val="24"/>
        </w:rPr>
        <w:t>：終止條件須加入</w:t>
      </w:r>
      <w:r>
        <w:rPr>
          <w:rFonts w:ascii="Times New Roman" w:hAnsi="Times New Roman" w:eastAsia="標楷體"/>
          <w:b/>
          <w:sz w:val="24"/>
        </w:rPr>
        <w:t>時間維度</w:t>
      </w:r>
      <w:r>
        <w:rPr>
          <w:rFonts w:ascii="Times New Roman" w:hAnsi="Times New Roman" w:eastAsia="標楷體"/>
          <w:b w:val="0"/>
          <w:sz w:val="24"/>
        </w:rPr>
        <w:t>——要求條件</w:t>
      </w:r>
      <w:r>
        <w:rPr>
          <w:rFonts w:ascii="Times New Roman" w:hAnsi="Times New Roman" w:eastAsia="標楷體"/>
          <w:b/>
          <w:sz w:val="24"/>
        </w:rPr>
        <w:t>連續滿足 3 秒</w:t>
      </w:r>
      <w:r>
        <w:rPr>
          <w:rFonts w:ascii="Times New Roman" w:hAnsi="Times New Roman" w:eastAsia="標楷體"/>
          <w:b w:val="0"/>
          <w:sz w:val="24"/>
        </w:rPr>
        <w:t xml:space="preserve">且總經過時間 ≥ 30 s 方成立，並另設「起步即已飽電」的合法 bypass 路徑（5 秒視窗內若確認已飽電則記 already</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正常跳過），以區分「真的已充飽」與「尚未開始充」兩種 t=0 狀態。</w:t>
      </w:r>
    </w:p>
    <w:p>
      <w:pPr>
        <w:spacing w:line="480" w:lineRule="exact"/>
        <w:ind w:firstLine="480"/>
        <w:jc w:val="both"/>
      </w:pPr>
      <w:r>
        <w:rPr>
          <w:rFonts w:ascii="Times New Roman" w:hAnsi="Times New Roman" w:eastAsia="標楷體"/>
          <w:b/>
          <w:sz w:val="24"/>
        </w:rPr>
        <w:t>取樣率與判斷視窗的耦合</w:t>
      </w:r>
      <w:r>
        <w:rPr>
          <w:rFonts w:ascii="Times New Roman" w:hAnsi="Times New Roman" w:eastAsia="標楷體"/>
          <w:b w:val="0"/>
          <w:sz w:val="24"/>
        </w:rPr>
        <w:t>：上述 bypass 第一版以 3 秒視窗判斷，但在 1 Hz 取樣下 3 秒僅 3 筆樣本，電源輸出的短暫尖峰即可打斷判斷、使 bypass 被否決，又因充電狀態機卡在「未進入 CC」而陷入死迴圈。</w:t>
      </w:r>
      <w:r>
        <w:rPr>
          <w:rFonts w:ascii="Times New Roman" w:hAnsi="Times New Roman" w:eastAsia="標楷體"/>
          <w:b/>
          <w:sz w:val="24"/>
        </w:rPr>
        <w:t>教訓</w:t>
      </w:r>
      <w:r>
        <w:rPr>
          <w:rFonts w:ascii="Times New Roman" w:hAnsi="Times New Roman" w:eastAsia="標楷體"/>
          <w:b w:val="0"/>
          <w:sz w:val="24"/>
        </w:rPr>
        <w:t>：判斷視窗的長度必須與取樣率匹配（延長至 5 秒、解除對狀態旗標的依賴改用 settle time），任何「連續 N 秒」的判斷都應換算成「至少幾筆樣本」來檢視其統計可靠性。</w:t>
      </w:r>
    </w:p>
    <w:p>
      <w:pPr>
        <w:spacing w:line="480" w:lineRule="exact"/>
        <w:ind w:firstLine="480"/>
        <w:jc w:val="both"/>
      </w:pPr>
      <w:r>
        <w:rPr>
          <w:rFonts w:ascii="Times New Roman" w:hAnsi="Times New Roman" w:eastAsia="標楷體"/>
          <w:b/>
          <w:sz w:val="24"/>
        </w:rPr>
        <w:t>估測涵蓋範圍的一致性（庫倫不漏計擾動）</w:t>
      </w:r>
      <w:r>
        <w:rPr>
          <w:rFonts w:ascii="Times New Roman" w:hAnsi="Times New Roman" w:eastAsia="標楷體"/>
          <w:b w:val="0"/>
          <w:sz w:val="24"/>
        </w:rPr>
        <w:t>：為取得動態阻抗所需之 dV/dI 擾動，放電過程每 60 s 短暫步降至 0.2C dwell 1 s。若庫倫計數於擾動 dwell 期間暫停積分，將累積約 3% 的容量低估。</w:t>
      </w:r>
      <w:r>
        <w:rPr>
          <w:rFonts w:ascii="Times New Roman" w:hAnsi="Times New Roman" w:eastAsia="標楷體"/>
          <w:b/>
          <w:sz w:val="24"/>
        </w:rPr>
        <w:t>教訓</w:t>
      </w:r>
      <w:r>
        <w:rPr>
          <w:rFonts w:ascii="Times New Roman" w:hAnsi="Times New Roman" w:eastAsia="標楷體"/>
          <w:b w:val="0"/>
          <w:sz w:val="24"/>
        </w:rPr>
        <w:t>：當同一平台須同時服務「真值量測」與「特性激勵」兩個目的時，真值積分必須涵蓋包含擾動在內的每一秒，不可為求 V(SoC) 曲線純淨而選擇性漏計——此即第四章 4.1.2 所述「積分涵蓋擾動秒數」之由來。</w:t>
      </w:r>
    </w:p>
    <w:p>
      <w:pPr>
        <w:spacing w:line="360" w:lineRule="exact"/>
        <w:jc w:val="left"/>
      </w:pPr>
      <w:r>
        <w:rPr>
          <w:rFonts w:ascii="Times New Roman" w:hAnsi="Times New Roman" w:eastAsia="標楷體"/>
          <w:b w:val="0"/>
          <w:sz w:val="26"/>
        </w:rPr>
        <w:t xml:space="preserve">5.4.2 教訓的共通原則</w:t>
      </w:r>
    </w:p>
    <w:p>
      <w:pPr>
        <w:spacing w:line="480" w:lineRule="exact"/>
        <w:ind w:firstLine="480"/>
        <w:jc w:val="both"/>
      </w:pPr>
      <w:r>
        <w:rPr>
          <w:rFonts w:ascii="Times New Roman" w:hAnsi="Times New Roman" w:eastAsia="標楷體"/>
          <w:b w:val="0"/>
          <w:sz w:val="24"/>
        </w:rPr>
        <w:t xml:space="preserve">上述案例可歸納為兩條對嵌入式量測平台普適的設計原則：(1) </w:t>
      </w:r>
      <w:r>
        <w:rPr>
          <w:rFonts w:ascii="Times New Roman" w:hAnsi="Times New Roman" w:eastAsia="標楷體"/>
          <w:b w:val="true"/>
          <w:sz w:val="24"/>
        </w:rPr>
        <w:t xml:space="preserve">不信任單點、不信任單次</w:t>
      </w:r>
      <w:r>
        <w:rPr>
          <w:rFonts w:ascii="Times New Roman" w:hAnsi="Times New Roman" w:eastAsia="標楷體"/>
          <w:b w:val="0"/>
          <w:sz w:val="24"/>
        </w:rPr>
        <w:t xml:space="preserve">——所有狀態判斷應有時間維度與多樣本佐證；(2) </w:t>
      </w:r>
      <w:r>
        <w:rPr>
          <w:rFonts w:ascii="Times New Roman" w:hAnsi="Times New Roman" w:eastAsia="標楷體"/>
          <w:b w:val="true"/>
          <w:sz w:val="24"/>
        </w:rPr>
        <w:t xml:space="preserve">量測目的與激勵目的須在設計階段就釐清涵蓋範圍</w:t>
      </w:r>
      <w:r>
        <w:rPr>
          <w:rFonts w:ascii="Times New Roman" w:hAnsi="Times New Roman" w:eastAsia="標楷體"/>
          <w:b w:val="0"/>
          <w:sz w:val="24"/>
        </w:rPr>
        <w:t xml:space="preserve">——避免為其一犧牲其二而不自知。這些原則雖源於本平台之具體踩坑，但構成了第三章所述平台「高再現性」（5.3.1 之 CV &lt; 0.52%）背後的實作基礎。</w:t>
      </w:r>
    </w:p>
    <w:p>
      <w:pPr>
        <w:spacing w:line="360" w:lineRule="exact"/>
        <w:jc w:val="left"/>
      </w:pPr>
      <w:r>
        <w:rPr>
          <w:rFonts w:ascii="Times New Roman" w:hAnsi="Times New Roman" w:eastAsia="標楷體"/>
          <w:b/>
          <w:sz w:val="28"/>
        </w:rPr>
        <w:t>5.5 本章小結</w:t>
      </w:r>
    </w:p>
    <w:p>
      <w:pPr>
        <w:spacing w:line="480" w:lineRule="exact"/>
        <w:ind w:firstLine="480"/>
        <w:jc w:val="both"/>
      </w:pPr>
      <w:r>
        <w:rPr>
          <w:rFonts w:ascii="Times New Roman" w:hAnsi="Times New Roman" w:eastAsia="標楷體"/>
          <w:b w:val="0"/>
          <w:sz w:val="24"/>
        </w:rPr>
        <w:t xml:space="preserve">本章自系統層級檢驗了整個研究的整合與性能。</w:t>
      </w:r>
      <w:r>
        <w:rPr>
          <w:rFonts w:ascii="Times New Roman" w:hAnsi="Times New Roman" w:eastAsia="標楷體"/>
          <w:b w:val="true"/>
          <w:sz w:val="24"/>
        </w:rPr>
        <w:t xml:space="preserve">整合策略</w:t>
      </w:r>
      <w:r>
        <w:rPr>
          <w:rFonts w:ascii="Times New Roman" w:hAnsi="Times New Roman" w:eastAsia="標楷體"/>
          <w:b w:val="0"/>
          <w:sz w:val="24"/>
        </w:rPr>
        <w:t xml:space="preserve">上，提出「共用前端、分離估測、統一輸出」之三法並行架構，其邊際成本可加性使全方法並行之資源上界可由第四章各法 footprint 直接推估。</w:t>
      </w:r>
      <w:r>
        <w:rPr>
          <w:rFonts w:ascii="Times New Roman" w:hAnsi="Times New Roman" w:eastAsia="標楷體"/>
          <w:b w:val="true"/>
          <w:sz w:val="24"/>
        </w:rPr>
        <w:t xml:space="preserve">即時性</w:t>
      </w:r>
      <w:r>
        <w:rPr>
          <w:rFonts w:ascii="Times New Roman" w:hAnsi="Times New Roman" w:eastAsia="標楷體"/>
          <w:b w:val="0"/>
          <w:sz w:val="24"/>
        </w:rPr>
        <w:t xml:space="preserve">上，建立以 100 µs 系統節拍為預算單位的 CPU 負載分配框架，論證三法（含並行）之每秒一次估測更新可被本級微控制器於時限內吸收（數值待 footprint 量測回填）。</w:t>
      </w:r>
      <w:r>
        <w:rPr>
          <w:rFonts w:ascii="Times New Roman" w:hAnsi="Times New Roman" w:eastAsia="標楷體"/>
          <w:b w:val="true"/>
          <w:sz w:val="24"/>
        </w:rPr>
        <w:t xml:space="preserve">長期再現性</w:t>
      </w:r>
      <w:r>
        <w:rPr>
          <w:rFonts w:ascii="Times New Roman" w:hAnsi="Times New Roman" w:eastAsia="標楷體"/>
          <w:b w:val="0"/>
          <w:sz w:val="24"/>
        </w:rPr>
        <w:t xml:space="preserve">上，以 rounds 1–38 實測數據證明：本平台 fresh-cell 三輪變異係數 CV &lt; 0.52%，而 38 輪累計容量衰退約 3.7%，後者顯著大於前者約 7 倍，故老化訊號與量測噪聲可被乾淨分離——此既支撐了第四章「逐 cycle 重新錨定庫倫真值」之正當性，亦為第六章 SOH 延伸提供了實證基礎。</w:t>
      </w:r>
      <w:r>
        <w:rPr>
          <w:rFonts w:ascii="Times New Roman" w:hAnsi="Times New Roman" w:eastAsia="標楷體"/>
          <w:b w:val="true"/>
          <w:sz w:val="24"/>
        </w:rPr>
        <w:t xml:space="preserve">工程教訓</w:t>
      </w:r>
      <w:r>
        <w:rPr>
          <w:rFonts w:ascii="Times New Roman" w:hAnsi="Times New Roman" w:eastAsia="標楷體"/>
          <w:b w:val="0"/>
          <w:sz w:val="24"/>
        </w:rPr>
        <w:t xml:space="preserve">上，彙整裸機即時系統之時序陷阱失敗案例，歸納出「不信任單點、量測涵蓋須在設計階段釐清」等普適原則。第六章將在全研究結論之上，給出 SOC 方法選用之決策表、研究限制與未來工作。</w:t>
      </w:r>
    </w:p>
    <w:p>
      <w:pPr>
        <w:pStyle w:val="1"/>
      </w:pPr>
      <w:r>
        <w:rPr>
          <w:rFonts w:ascii="Times New Roman" w:hAnsi="Times New Roman" w:eastAsia="標楷體"/>
          <w:b/>
          <w:sz w:val="32"/>
          <w:color w:val="000000"/>
        </w:rPr>
        <w:t>第六章　結論與未來工作</w:t>
      </w:r>
    </w:p>
    <w:p>
      <w:pPr>
        <w:spacing w:line="360" w:lineRule="exact"/>
        <w:jc w:val="left"/>
      </w:pPr>
      <w:r>
        <w:rPr>
          <w:rFonts w:ascii="Times New Roman" w:hAnsi="Times New Roman" w:eastAsia="標楷體"/>
          <w:b/>
          <w:sz w:val="28"/>
        </w:rPr>
        <w:t>6.1 主要貢獻</w:t>
      </w:r>
    </w:p>
    <w:p>
      <w:pPr>
        <w:spacing w:line="480" w:lineRule="exact"/>
        <w:ind w:firstLine="480"/>
        <w:jc w:val="both"/>
      </w:pPr>
      <w:r>
        <w:rPr>
          <w:rFonts w:ascii="Times New Roman" w:hAnsi="Times New Roman" w:eastAsia="標楷體"/>
          <w:b w:val="0"/>
          <w:sz w:val="24"/>
        </w:rPr>
        <w:t>本研究以「嵌入式資源約束下的 SOC 演算法精度─成本權衡」為核心命題，回應第一章所指出的兩個研究缺口——既有文獻常於「失真的評估環境」（PC 端、理想量測）下評比演算法，且缺乏「公平的 benchmark」（同電池、同協定、同硬體）。據此，本研究之主要貢獻有三：</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自動化跨輪電池測試平台</w:t>
      </w:r>
      <w:r>
        <w:rPr>
          <w:rFonts w:ascii="Times New Roman" w:hAnsi="Times New Roman" w:eastAsia="標楷體"/>
          <w:b w:val="0"/>
          <w:sz w:val="24"/>
        </w:rPr>
        <w:t xml:space="preserve">：整合 STM32 微控制器、INA226 量測前端、IT6302 可程式電源、IT8512A+ 電子負載與 Python 上位機 orchestrator，建構一座可長期無人值守運行的跨輪測試平台。平台具備 INA226 多點線性內插校正（全範圍誤差 &lt; 1‰）、BenchInterlock 安全互鎖、round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自動化充放電協定與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跨輪持久化。其再現性經實測驗證（第五章：fresh-cell 三輪 CV &lt; 0.52%），為後續一切公平比較奠定可信的量測基礎。</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三種 SOC 估測方法之嵌入式實作框架</w:t>
      </w:r>
      <w:r>
        <w:rPr>
          <w:rFonts w:ascii="Times New Roman" w:hAnsi="Times New Roman" w:eastAsia="標楷體"/>
          <w:b w:val="0"/>
          <w:sz w:val="24"/>
        </w:rPr>
        <w:t>：於同一韌體骨架上，將庫倫計數、擴展卡爾曼濾波器（EKF，一階 RC、狀態二維、增益免矩陣求逆）與動態阻抗法三種方法實作為可替換的估測模組，並提出「共用前端、分離估測、統一輸出」之並行整合架構（第五章 5.1）。其中動態阻抗法巧妙複用 rate-capability 測試既有之 dV/dI 擾動段，無須額外實驗即可建表。</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同硬體環境下的精度／資源量化比較框架</w:t>
      </w:r>
      <w:r>
        <w:rPr>
          <w:rFonts w:ascii="Times New Roman" w:hAnsi="Times New Roman" w:eastAsia="標楷體"/>
          <w:b w:val="0"/>
          <w:sz w:val="24"/>
        </w:rPr>
        <w:t>：建立「同電池、同協定、同微控制器、同量測路徑」之公平 benchmark，以 RMSE／MAE／最大誤差／收斂時間量測精度，以 Flash／RAM／每次更新 CPU cycles 量測嵌入式資源佔用，使三法之「精度─成本權衡」首次得以在受控且一致的條件下被定量呈現，填補文獻少見之缺口。</w:t>
      </w:r>
    </w:p>
    <w:p>
      <w:pPr>
        <w:spacing w:line="480" w:lineRule="exact"/>
        <w:ind w:firstLine="480"/>
        <w:jc w:val="both"/>
      </w:pPr>
      <w:r>
        <w:rPr>
          <w:rFonts w:ascii="Times New Roman" w:hAnsi="Times New Roman" w:eastAsia="標楷體"/>
          <w:b w:val="0"/>
          <w:sz w:val="24"/>
        </w:rPr>
        <w:t xml:space="preserve">此外，本研究於實作過程中亦累積並彙整了嵌入式量測平台之工程教訓（第五章 5.4），歸納出「不信任單點、量測涵蓋須在設計階段釐清」等普適設計原則，對自建電池測試平台者具參考價值。</w:t>
      </w:r>
    </w:p>
    <w:p>
      <w:pPr>
        <w:spacing w:line="360" w:lineRule="exact"/>
        <w:jc w:val="left"/>
      </w:pPr>
      <w:r>
        <w:rPr>
          <w:rFonts w:ascii="Times New Roman" w:hAnsi="Times New Roman" w:eastAsia="標楷體"/>
          <w:b/>
          <w:sz w:val="28"/>
        </w:rPr>
        <w:t>6.2 SOC 方法選用決策表（壓軸）</w:t>
      </w:r>
    </w:p>
    <w:p>
      <w:pPr>
        <w:spacing w:line="480" w:lineRule="exact"/>
        <w:ind w:firstLine="480"/>
        <w:jc w:val="both"/>
      </w:pPr>
      <w:r>
        <w:rPr>
          <w:rFonts w:ascii="Times New Roman" w:hAnsi="Times New Roman" w:eastAsia="標楷體"/>
          <w:b w:val="0"/>
          <w:sz w:val="24"/>
        </w:rPr>
        <w:t xml:space="preserve">綜合全研究之精度、強健性與嵌入式資源三軸結論，依目標應用之約束條件，給出 SOC 估測方法選用之決策建議如表 6-1。本表為第四章 4.4.4 應用建議在全研究結論下的收束版本——其中動態阻抗一列之精度（單獨反推 RMSE 約 6～10%、SOC 中段較差）已有第四章 4.3.4 實測支撐；庫倫計數與 EKF 之精確數值待第四章 </w:t>
      </w:r>
      <w:r>
        <w:rPr>
          <w:rFonts w:ascii="Times New Roman" w:hAnsi="Times New Roman" w:eastAsia="標楷體"/>
          <w:b w:val="0"/>
          <w:color w:val="C00000"/>
          <w:sz w:val="24"/>
        </w:rPr>
        <w:t>[待測]</w:t>
      </w:r>
      <w:r>
        <w:rPr>
          <w:rFonts w:ascii="Times New Roman" w:hAnsi="Times New Roman" w:eastAsia="標楷體"/>
          <w:b w:val="0"/>
          <w:sz w:val="24"/>
        </w:rPr>
        <w:t xml:space="preserve"> 實驗回填後，本表即由定性建議升級為定量決策依據。</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2076"/>
            <w:shd w:val="clear" w:color="auto" w:fill="D9E2F3"/>
          </w:tcPr>
          <w:p>
            <w:pPr>
              <w:jc w:val="center"/>
            </w:pPr>
            <w:r/>
            <w:r>
              <w:rPr>
                <w:rFonts w:ascii="Times New Roman" w:hAnsi="Times New Roman" w:eastAsia="標楷體"/>
                <w:b/>
                <w:sz w:val="21"/>
              </w:rPr>
              <w:t>應用約束情境</w:t>
            </w:r>
          </w:p>
        </w:tc>
        <w:tc>
          <w:tcPr>
            <w:tcW w:type="dxa" w:w="2076"/>
            <w:shd w:val="clear" w:color="auto" w:fill="D9E2F3"/>
          </w:tcPr>
          <w:p>
            <w:pPr>
              <w:jc w:val="center"/>
            </w:pPr>
            <w:r/>
            <w:r>
              <w:rPr>
                <w:rFonts w:ascii="Times New Roman" w:hAnsi="Times New Roman" w:eastAsia="標楷體"/>
                <w:b/>
                <w:sz w:val="21"/>
              </w:rPr>
              <w:t>首選方法</w:t>
            </w:r>
          </w:p>
        </w:tc>
        <w:tc>
          <w:tcPr>
            <w:tcW w:type="dxa" w:w="2076"/>
            <w:shd w:val="clear" w:color="auto" w:fill="D9E2F3"/>
          </w:tcPr>
          <w:p>
            <w:pPr>
              <w:jc w:val="center"/>
            </w:pPr>
            <w:r/>
            <w:r>
              <w:rPr>
                <w:rFonts w:ascii="Times New Roman" w:hAnsi="Times New Roman" w:eastAsia="標楷體"/>
                <w:b/>
                <w:sz w:val="21"/>
              </w:rPr>
              <w:t>理由</w:t>
            </w:r>
          </w:p>
        </w:tc>
        <w:tc>
          <w:tcPr>
            <w:tcW w:type="dxa" w:w="2076"/>
            <w:shd w:val="clear" w:color="auto" w:fill="D9E2F3"/>
          </w:tcPr>
          <w:p>
            <w:pPr>
              <w:jc w:val="center"/>
            </w:pPr>
            <w:r/>
            <w:r>
              <w:rPr>
                <w:rFonts w:ascii="Times New Roman" w:hAnsi="Times New Roman" w:eastAsia="標楷體"/>
                <w:b/>
                <w:sz w:val="21"/>
              </w:rPr>
              <w:t>主要代價</w:t>
            </w:r>
          </w:p>
        </w:tc>
      </w:tr>
      <w:tr>
        <w:tc>
          <w:tcPr>
            <w:tcW w:type="dxa" w:w="2076"/>
          </w:tcPr>
          <w:p>
            <w:pPr>
              <w:jc w:val="left"/>
            </w:pPr>
            <w:r/>
            <w:r>
              <w:rPr>
                <w:rFonts w:ascii="Times New Roman" w:hAnsi="Times New Roman" w:eastAsia="標楷體"/>
                <w:b w:val="0"/>
                <w:sz w:val="21"/>
              </w:rPr>
              <w:t>極低成本／極低算力（8-bit、無 FPU、Flash &lt; 8 KB）</w:t>
            </w:r>
          </w:p>
        </w:tc>
        <w:tc>
          <w:tcPr>
            <w:tcW w:type="dxa" w:w="2076"/>
          </w:tcPr>
          <w:p>
            <w:pPr>
              <w:jc w:val="left"/>
            </w:pPr>
            <w:r/>
            <w:r>
              <w:rPr>
                <w:rFonts w:ascii="Times New Roman" w:hAnsi="Times New Roman" w:eastAsia="標楷體"/>
                <w:b w:val="0"/>
                <w:sz w:val="21"/>
              </w:rPr>
              <w:t>庫倫計數 + 靜置 OCV 週期修正</w:t>
            </w:r>
          </w:p>
        </w:tc>
        <w:tc>
          <w:tcPr>
            <w:tcW w:type="dxa" w:w="2076"/>
          </w:tcPr>
          <w:p>
            <w:pPr>
              <w:jc w:val="left"/>
            </w:pPr>
            <w:r/>
            <w:r>
              <w:rPr>
                <w:rFonts w:ascii="Times New Roman" w:hAnsi="Times New Roman" w:eastAsia="標楷體"/>
                <w:b w:val="0"/>
                <w:sz w:val="21"/>
              </w:rPr>
              <w:t>資源下界，一乘一加即可；以靜置 OCV 補長期漂移</w:t>
            </w:r>
          </w:p>
        </w:tc>
        <w:tc>
          <w:tcPr>
            <w:tcW w:type="dxa" w:w="2076"/>
          </w:tcPr>
          <w:p>
            <w:pPr>
              <w:jc w:val="left"/>
            </w:pPr>
            <w:r/>
            <w:r>
              <w:rPr>
                <w:rFonts w:ascii="Times New Roman" w:hAnsi="Times New Roman" w:eastAsia="標楷體"/>
                <w:b w:val="0"/>
                <w:sz w:val="21"/>
              </w:rPr>
              <w:t>無自我修正，依賴週期性靜置；初值錯誤不收斂</w:t>
            </w:r>
          </w:p>
        </w:tc>
      </w:tr>
      <w:tr>
        <w:tc>
          <w:tcPr>
            <w:tcW w:type="dxa" w:w="2076"/>
          </w:tcPr>
          <w:p>
            <w:pPr>
              <w:jc w:val="left"/>
            </w:pPr>
            <w:r/>
            <w:r>
              <w:rPr>
                <w:rFonts w:ascii="Times New Roman" w:hAnsi="Times New Roman" w:eastAsia="標楷體"/>
                <w:b w:val="0"/>
                <w:sz w:val="21"/>
              </w:rPr>
              <w:t>中階且需自初值錯誤恢復、長期免人工校正</w:t>
            </w:r>
          </w:p>
        </w:tc>
        <w:tc>
          <w:tcPr>
            <w:tcW w:type="dxa" w:w="2076"/>
          </w:tcPr>
          <w:p>
            <w:pPr>
              <w:jc w:val="left"/>
            </w:pPr>
            <w:r/>
            <w:r>
              <w:rPr>
                <w:rFonts w:ascii="Times New Roman" w:hAnsi="Times New Roman" w:eastAsia="標楷體"/>
                <w:b w:val="0"/>
                <w:sz w:val="21"/>
              </w:rPr>
              <w:t>EKF（一階 RC）</w:t>
            </w:r>
          </w:p>
        </w:tc>
        <w:tc>
          <w:tcPr>
            <w:tcW w:type="dxa" w:w="2076"/>
          </w:tcPr>
          <w:p>
            <w:pPr>
              <w:jc w:val="left"/>
            </w:pPr>
            <w:r/>
            <w:r>
              <w:rPr>
                <w:rFonts w:ascii="Times New Roman" w:hAnsi="Times New Roman" w:eastAsia="標楷體"/>
                <w:b w:val="0"/>
                <w:sz w:val="21"/>
              </w:rPr>
              <w:t>融合電流積分與端電壓觀測，精度與強健性最佳，可自初值錯誤收斂</w:t>
            </w:r>
          </w:p>
        </w:tc>
        <w:tc>
          <w:tcPr>
            <w:tcW w:type="dxa" w:w="2076"/>
          </w:tcPr>
          <w:p>
            <w:pPr>
              <w:jc w:val="left"/>
            </w:pPr>
            <w:r/>
            <w:r>
              <w:rPr>
                <w:rFonts w:ascii="Times New Roman" w:hAnsi="Times New Roman" w:eastAsia="標楷體"/>
                <w:b w:val="0"/>
                <w:sz w:val="21"/>
              </w:rPr>
              <w:t>需 OCV 表；軟浮點下單次運算量最高、Flash／RAM 代價最大</w:t>
            </w:r>
          </w:p>
        </w:tc>
      </w:tr>
      <w:tr>
        <w:tc>
          <w:tcPr>
            <w:tcW w:type="dxa" w:w="2076"/>
          </w:tcPr>
          <w:p>
            <w:pPr>
              <w:jc w:val="left"/>
            </w:pPr>
            <w:r/>
            <w:r>
              <w:rPr>
                <w:rFonts w:ascii="Times New Roman" w:hAnsi="Times New Roman" w:eastAsia="標楷體"/>
                <w:b w:val="0"/>
                <w:sz w:val="21"/>
              </w:rPr>
              <w:t>工作中即時估測、無靜置機會、實驗成本敏感</w:t>
            </w:r>
          </w:p>
        </w:tc>
        <w:tc>
          <w:tcPr>
            <w:tcW w:type="dxa" w:w="2076"/>
          </w:tcPr>
          <w:p>
            <w:pPr>
              <w:jc w:val="left"/>
            </w:pPr>
            <w:r/>
            <w:r>
              <w:rPr>
                <w:rFonts w:ascii="Times New Roman" w:hAnsi="Times New Roman" w:eastAsia="標楷體"/>
                <w:b w:val="0"/>
                <w:sz w:val="21"/>
              </w:rPr>
              <w:t>動態阻抗（+ 庫倫內插）</w:t>
            </w:r>
          </w:p>
        </w:tc>
        <w:tc>
          <w:tcPr>
            <w:tcW w:type="dxa" w:w="2076"/>
          </w:tcPr>
          <w:p>
            <w:pPr>
              <w:jc w:val="left"/>
            </w:pPr>
            <w:r/>
            <w:r>
              <w:rPr>
                <w:rFonts w:ascii="Times New Roman" w:hAnsi="Times New Roman" w:eastAsia="標楷體"/>
                <w:b w:val="0"/>
                <w:sz w:val="21"/>
              </w:rPr>
              <w:t>無須初值與靜置；複用既有擾動，建表成本低</w:t>
            </w:r>
          </w:p>
        </w:tc>
        <w:tc>
          <w:tcPr>
            <w:tcW w:type="dxa" w:w="2076"/>
          </w:tcPr>
          <w:p>
            <w:pPr>
              <w:jc w:val="left"/>
            </w:pPr>
            <w:r/>
            <w:r>
              <w:rPr>
                <w:rFonts w:ascii="Times New Roman" w:hAnsi="Times New Roman" w:eastAsia="標楷體"/>
                <w:b w:val="0"/>
                <w:sz w:val="21"/>
              </w:rPr>
              <w:t>單獨反推 SOC 中段病態（誤差大）；僅擾動事件處產生獨立估測</w:t>
            </w:r>
          </w:p>
        </w:tc>
      </w:tr>
      <w:tr>
        <w:tc>
          <w:tcPr>
            <w:tcW w:type="dxa" w:w="2076"/>
          </w:tcPr>
          <w:p>
            <w:pPr>
              <w:jc w:val="left"/>
            </w:pPr>
            <w:r/>
            <w:r>
              <w:rPr>
                <w:rFonts w:ascii="Times New Roman" w:hAnsi="Times New Roman" w:eastAsia="標楷體"/>
                <w:b w:val="0"/>
                <w:sz w:val="21"/>
              </w:rPr>
              <w:t>高可靠度、資源充裕、追求最佳整體表現</w:t>
            </w:r>
          </w:p>
        </w:tc>
        <w:tc>
          <w:tcPr>
            <w:tcW w:type="dxa" w:w="2076"/>
          </w:tcPr>
          <w:p>
            <w:pPr>
              <w:jc w:val="left"/>
            </w:pPr>
            <w:r/>
            <w:r>
              <w:rPr>
                <w:rFonts w:ascii="Times New Roman" w:hAnsi="Times New Roman" w:eastAsia="標楷體"/>
                <w:b w:val="0"/>
                <w:sz w:val="21"/>
              </w:rPr>
              <w:t>三法混合（庫倫連續 + 動態阻抗離散校正 + EKF 融合）</w:t>
            </w:r>
          </w:p>
        </w:tc>
        <w:tc>
          <w:tcPr>
            <w:tcW w:type="dxa" w:w="2076"/>
          </w:tcPr>
          <w:p>
            <w:pPr>
              <w:jc w:val="left"/>
            </w:pPr>
            <w:r/>
            <w:r>
              <w:rPr>
                <w:rFonts w:ascii="Times New Roman" w:hAnsi="Times New Roman" w:eastAsia="標楷體"/>
                <w:b w:val="0"/>
                <w:sz w:val="21"/>
              </w:rPr>
              <w:t>互補：庫倫提供連續高解析、動態阻抗提供無初值校正、EKF 提供最佳融合與恢復</w:t>
            </w:r>
          </w:p>
        </w:tc>
        <w:tc>
          <w:tcPr>
            <w:tcW w:type="dxa" w:w="2076"/>
          </w:tcPr>
          <w:p>
            <w:pPr>
              <w:jc w:val="left"/>
            </w:pPr>
            <w:r/>
            <w:r>
              <w:rPr>
                <w:rFonts w:ascii="Times New Roman" w:hAnsi="Times New Roman" w:eastAsia="標楷體"/>
                <w:b w:val="0"/>
                <w:sz w:val="21"/>
              </w:rPr>
              <w:t>整合複雜度與資源佔用最高（第五章 5.1 並行架構）</w:t>
            </w:r>
          </w:p>
        </w:tc>
      </w:tr>
    </w:tbl>
    <w:p>
      <w:pPr>
        <w:jc w:val="center"/>
      </w:pPr>
      <w:r>
        <w:rPr>
          <w:rFonts w:ascii="Times New Roman" w:hAnsi="Times New Roman" w:eastAsia="標楷體"/>
          <w:b/>
          <w:sz w:val="22"/>
        </w:rPr>
        <w:t>表 6-1　SOC 估測方法選用決策表（全研究結論版；動態阻抗精度為實測，餘待 [待測] 回填升級為定量）</w:t>
      </w:r>
    </w:p>
    <w:p>
      <w:pPr>
        <w:spacing w:line="480" w:lineRule="exact"/>
        <w:ind w:firstLine="480"/>
        <w:jc w:val="both"/>
      </w:pPr>
      <w:r>
        <w:rPr>
          <w:rFonts w:ascii="Times New Roman" w:hAnsi="Times New Roman" w:eastAsia="標楷體"/>
          <w:b w:val="0"/>
          <w:sz w:val="24"/>
        </w:rPr>
        <w:t>此決策表即本研究核心命題「精度─成本權衡」之最終答案：</w:t>
      </w:r>
      <w:r>
        <w:rPr>
          <w:rFonts w:ascii="Times New Roman" w:hAnsi="Times New Roman" w:eastAsia="標楷體"/>
          <w:b/>
          <w:sz w:val="24"/>
        </w:rPr>
        <w:t>不存在單一最優方法，最優選擇取決於目標硬體的資源約束與應用對初值錯誤恢復、靜置機會、實驗成本的要求</w:t>
      </w:r>
      <w:r>
        <w:rPr>
          <w:rFonts w:ascii="Times New Roman" w:hAnsi="Times New Roman" w:eastAsia="標楷體"/>
          <w:b w:val="0"/>
          <w:sz w:val="24"/>
        </w:rPr>
        <w:t>。本研究的價值，在於將此權衡由「文獻中的定性印象」轉化為「同硬體實測支撐的決策依據」。</w:t>
      </w:r>
    </w:p>
    <w:p>
      <w:pPr>
        <w:spacing w:line="360" w:lineRule="exact"/>
        <w:jc w:val="left"/>
      </w:pPr>
      <w:r>
        <w:rPr>
          <w:rFonts w:ascii="Times New Roman" w:hAnsi="Times New Roman" w:eastAsia="標楷體"/>
          <w:b/>
          <w:sz w:val="28"/>
        </w:rPr>
        <w:t>6.3 研究限制</w:t>
      </w:r>
    </w:p>
    <w:p>
      <w:pPr>
        <w:spacing w:line="480" w:lineRule="exact"/>
        <w:ind w:firstLine="480"/>
        <w:jc w:val="both"/>
      </w:pPr>
      <w:r>
        <w:rPr>
          <w:rFonts w:ascii="Times New Roman" w:hAnsi="Times New Roman" w:eastAsia="標楷體"/>
          <w:b w:val="0"/>
          <w:sz w:val="24"/>
        </w:rPr>
        <w:t>本研究之結論受下列條件限制，於推廣應用時須一併考量：</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單一電池化學體系與樣本</w:t>
      </w:r>
      <w:r>
        <w:rPr>
          <w:rFonts w:ascii="Times New Roman" w:hAnsi="Times New Roman" w:eastAsia="標楷體"/>
          <w:b w:val="0"/>
          <w:sz w:val="24"/>
        </w:rPr>
        <w:t>：所有實驗僅基於一顆客製化 NMC 鋰離子電池。NMC 之開路電壓曲線相對平緩但無顯著遲滯，本研究之 OCV 表、動態阻抗拋物線與各方法精度結論未必能直接外推至其他化學體系（尤以 LFP 之強遲滯特性差異最大，見 6.4）。</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室溫、無溫度補償</w:t>
      </w:r>
      <w:r>
        <w:rPr>
          <w:rFonts w:ascii="Times New Roman" w:hAnsi="Times New Roman" w:eastAsia="標楷體"/>
          <w:b w:val="0"/>
          <w:sz w:val="24"/>
        </w:rPr>
        <w:t>：所有測試於室溫進行，未涵蓋低溫／高溫工況。溫度顯著影響電池內阻、極化與 OCV，實際 BMS 須有溫度補償；本研究之結論僅在近室溫條件下成立。</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僅做 SOC，未做 SOH</w:t>
      </w:r>
      <w:r>
        <w:rPr>
          <w:rFonts w:ascii="Times New Roman" w:hAnsi="Times New Roman" w:eastAsia="標楷體"/>
          <w:b w:val="0"/>
          <w:sz w:val="24"/>
        </w:rPr>
        <w:t>：依研究範圍裁切（第一章），本研究聚焦 SOC 估測，SOH 列為未來工作。雖然第五章已實測到可分離的老化訊號（38 輪約 3.7% 衰退），但尚未實作 SOH 估測演算法。</w:t>
      </w:r>
    </w:p>
    <w:p>
      <w:pPr>
        <w:spacing w:line="480" w:lineRule="exact"/>
        <w:ind w:firstLine="480"/>
        <w:jc w:val="both"/>
      </w:pPr>
      <w:r>
        <w:rPr>
          <w:rFonts w:ascii="Times New Roman" w:hAnsi="Times New Roman" w:eastAsia="標楷體"/>
          <w:b w:val="0"/>
          <w:sz w:val="24"/>
        </w:rPr>
        <w:t xml:space="preserve">4. </w:t>
      </w:r>
      <w:r>
        <w:rPr>
          <w:rFonts w:ascii="Times New Roman" w:hAnsi="Times New Roman" w:eastAsia="標楷體"/>
          <w:b/>
          <w:sz w:val="24"/>
        </w:rPr>
        <w:t>rate capability 平坦之有利條件</w:t>
      </w:r>
      <w:r>
        <w:rPr>
          <w:rFonts w:ascii="Times New Roman" w:hAnsi="Times New Roman" w:eastAsia="標楷體"/>
          <w:b w:val="0"/>
          <w:sz w:val="24"/>
        </w:rPr>
        <w:t>：本電池 0.5C→2.0C 容量僅降約 1%（第四章 4.1.4），對所有依賴端電壓的模型方法（EKF、動態阻抗）構成相對有利的條件（高倍率下端電壓仍接近 OCV，模型失配小）。對內阻高、極化大的電池，各方法精度可能劣化。</w:t>
      </w:r>
    </w:p>
    <w:p>
      <w:pPr>
        <w:spacing w:line="480" w:lineRule="exact"/>
        <w:ind w:firstLine="480"/>
        <w:jc w:val="both"/>
      </w:pPr>
      <w:r>
        <w:rPr>
          <w:rFonts w:ascii="Times New Roman" w:hAnsi="Times New Roman" w:eastAsia="標楷體"/>
          <w:b w:val="0"/>
          <w:sz w:val="24"/>
        </w:rPr>
        <w:t xml:space="preserve">5. </w:t>
      </w:r>
      <w:r>
        <w:rPr>
          <w:rFonts w:ascii="Times New Roman" w:hAnsi="Times New Roman" w:eastAsia="標楷體"/>
          <w:b/>
          <w:sz w:val="24"/>
        </w:rPr>
        <w:t>部分比較數值待實測回填</w:t>
      </w:r>
      <w:r>
        <w:rPr>
          <w:rFonts w:ascii="Times New Roman" w:hAnsi="Times New Roman" w:eastAsia="標楷體"/>
          <w:b w:val="0"/>
          <w:sz w:val="24"/>
        </w:rPr>
        <w:t xml:space="preserve">：本稿時點，EKF 之精度／收斂與三法之 footprint 仍為 </w:t>
      </w:r>
      <w:r>
        <w:rPr>
          <w:rFonts w:ascii="Times New Roman" w:hAnsi="Times New Roman" w:eastAsia="標楷體"/>
          <w:b w:val="0"/>
          <w:color w:val="C00000"/>
          <w:sz w:val="24"/>
        </w:rPr>
        <w:t>[待測]</w:t>
      </w:r>
      <w:r>
        <w:rPr>
          <w:rFonts w:ascii="Times New Roman" w:hAnsi="Times New Roman" w:eastAsia="標楷體"/>
          <w:b w:val="0"/>
          <w:sz w:val="24"/>
        </w:rPr>
        <w:t>。本研究嚴守「不虛構數據」原則，相關結論於實驗完成前以定性形式呈現，俟回填後方為完整定量結論。</w:t>
      </w:r>
    </w:p>
    <w:p>
      <w:pPr>
        <w:spacing w:line="360" w:lineRule="exact"/>
        <w:jc w:val="left"/>
      </w:pPr>
      <w:r>
        <w:rPr>
          <w:rFonts w:ascii="Times New Roman" w:hAnsi="Times New Roman" w:eastAsia="標楷體"/>
          <w:b/>
          <w:sz w:val="28"/>
        </w:rPr>
        <w:t>6.4 未來工作</w:t>
      </w:r>
    </w:p>
    <w:p>
      <w:pPr>
        <w:spacing w:line="360" w:lineRule="exact"/>
        <w:jc w:val="left"/>
      </w:pPr>
      <w:r>
        <w:rPr>
          <w:rFonts w:ascii="Times New Roman" w:hAnsi="Times New Roman" w:eastAsia="標楷體"/>
          <w:b/>
          <w:sz w:val="26"/>
        </w:rPr>
        <w:t>6.4.1 SOH 估測延伸</w:t>
      </w:r>
    </w:p>
    <w:p>
      <w:pPr>
        <w:spacing w:line="480" w:lineRule="exact"/>
        <w:ind w:firstLine="480"/>
        <w:jc w:val="both"/>
      </w:pPr>
      <w:r>
        <w:rPr>
          <w:rFonts w:ascii="Times New Roman" w:hAnsi="Times New Roman" w:eastAsia="標楷體"/>
          <w:b w:val="0"/>
          <w:sz w:val="24"/>
        </w:rPr>
        <w:t>本研究之測試平台與長期循環數據（第五章：38 輪、可分離之 3.7% 老化軌跡）為 SOH 估測提供了現成基礎。未來可於現有框架上延伸：</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容量衰退追蹤法</w:t>
      </w:r>
      <w:r>
        <w:rPr>
          <w:rFonts w:ascii="Times New Roman" w:hAnsi="Times New Roman" w:eastAsia="標楷體"/>
          <w:b w:val="0"/>
          <w:sz w:val="24"/>
        </w:rPr>
        <w:t xml:space="preserve">：直接以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之逐輪滿放容量為 SOH 指標，本研究已具備此資料管線。</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內阻成長法</w:t>
      </w:r>
      <w:r>
        <w:rPr>
          <w:rFonts w:ascii="Times New Roman" w:hAnsi="Times New Roman" w:eastAsia="標楷體"/>
          <w:b w:val="0"/>
          <w:sz w:val="24"/>
        </w:rPr>
        <w:t>：複用動態阻抗法既有之 Δ V/Δ I 擾動量測，追蹤特定 SOC 點之內阻隨循環次數的成長，作為 SOH 之另一獨立指標。</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投影法／ICA（增量容量分析）</w:t>
      </w:r>
      <w:r>
        <w:rPr>
          <w:rFonts w:ascii="Times New Roman" w:hAnsi="Times New Roman" w:eastAsia="標楷體"/>
          <w:b w:val="0"/>
          <w:sz w:val="24"/>
        </w:rPr>
        <w:t>：以充放電曲線之微分特徵追蹤老化，可與上述兩法交叉驗證。</w:t>
      </w:r>
    </w:p>
    <w:p>
      <w:pPr>
        <w:spacing w:line="480" w:lineRule="exact"/>
        <w:ind w:firstLine="480"/>
        <w:jc w:val="both"/>
      </w:pPr>
      <w:r>
        <w:rPr>
          <w:rFonts w:ascii="Times New Roman" w:hAnsi="Times New Roman" w:eastAsia="標楷體"/>
          <w:b w:val="0"/>
          <w:sz w:val="24"/>
        </w:rPr>
        <w:t>由於 SOH 指標多可複用本研究已有之量測（容量、動態阻抗），延伸成本相對低，是最自然的下一步。</w:t>
      </w:r>
    </w:p>
    <w:p>
      <w:pPr>
        <w:spacing w:line="360" w:lineRule="exact"/>
        <w:jc w:val="left"/>
      </w:pPr>
      <w:r>
        <w:rPr>
          <w:rFonts w:ascii="Times New Roman" w:hAnsi="Times New Roman" w:eastAsia="標楷體"/>
          <w:b/>
          <w:sz w:val="26"/>
        </w:rPr>
        <w:t>6.4.2 LFP 電池遲滯處理</w:t>
      </w:r>
    </w:p>
    <w:p>
      <w:pPr>
        <w:spacing w:line="480" w:lineRule="exact"/>
        <w:ind w:firstLine="480"/>
        <w:jc w:val="both"/>
      </w:pPr>
      <w:r>
        <w:rPr>
          <w:rFonts w:ascii="Times New Roman" w:hAnsi="Times New Roman" w:eastAsia="標楷體"/>
          <w:b w:val="0"/>
          <w:sz w:val="24"/>
        </w:rPr>
        <w:t>LFP 電池之開路電壓曲線極平坦且具顯著充放電遲滯，使依賴 OCV 的方法（EKF）面臨「OCV 對 SOC 不敏感」與「遲滯造成 OCV 多值」兩大挑戰。未來可引入遲滯狀態模型（如一階遲滯態擴充至 EKF 狀態向量），並比較動態阻抗法在 LFP 上的表現（其不依賴 OCV，理論上較不受遲滯影響），是極具研究價值的對照延伸。</w:t>
      </w:r>
    </w:p>
    <w:p>
      <w:pPr>
        <w:spacing w:line="360" w:lineRule="exact"/>
        <w:jc w:val="left"/>
      </w:pPr>
      <w:r>
        <w:rPr>
          <w:rFonts w:ascii="Times New Roman" w:hAnsi="Times New Roman" w:eastAsia="標楷體"/>
          <w:b/>
          <w:sz w:val="26"/>
        </w:rPr>
        <w:t>6.4.3 資料驅動融合與雲端 fleet learning</w:t>
      </w:r>
    </w:p>
    <w:p>
      <w:pPr>
        <w:spacing w:line="480" w:lineRule="exact"/>
        <w:ind w:firstLine="480"/>
        <w:jc w:val="both"/>
      </w:pPr>
      <w:r>
        <w:rPr>
          <w:rFonts w:ascii="Times New Roman" w:hAnsi="Times New Roman" w:eastAsia="標楷體"/>
          <w:b w:val="0"/>
          <w:sz w:val="24"/>
        </w:rPr>
        <w:t>在嵌入式資源持續成長的趨勢下，未來可探討：(a) 以輕量神經網路（如小型 RNN）融合三種估測方法之輸出，或直接由電壓／電流序列端到端估測 SOC，並在本研究之公平 benchmark 框架下量化其精度─資源權衡；(b) 將多顆電池之運行數據上傳雲端做 fleet learning，回饋校正各 MCU 之模型參數，使邊緣端的輕量方法亦能逼近高階方法之精度。</w:t>
      </w:r>
    </w:p>
    <w:p>
      <w:pPr>
        <w:spacing w:line="360" w:lineRule="exact"/>
        <w:jc w:val="left"/>
      </w:pPr>
      <w:r>
        <w:rPr>
          <w:rFonts w:ascii="Times New Roman" w:hAnsi="Times New Roman" w:eastAsia="標楷體"/>
          <w:b/>
          <w:sz w:val="28"/>
        </w:rPr>
        <w:t>6.5 結語</w:t>
      </w:r>
    </w:p>
    <w:p>
      <w:pPr>
        <w:spacing w:line="480" w:lineRule="exact"/>
        <w:ind w:firstLine="480"/>
        <w:jc w:val="both"/>
      </w:pPr>
      <w:r>
        <w:rPr>
          <w:rFonts w:ascii="Times New Roman" w:hAnsi="Times New Roman" w:eastAsia="標楷體"/>
          <w:b w:val="0"/>
          <w:sz w:val="24"/>
        </w:rPr>
        <w:t>本研究從一個務實的工程命題出發——在真實的嵌入式資源約束下，三種主流 SOC 估測方法究竟孰優孰劣？透過自建的高再現性測試平台與同硬體公平 benchmark，本研究將此問題的答案由文獻中的定性印象，推進為實測數據支撐的決策依據：沒有放諸四海皆準的最優方法，最優選擇是資源、精度與強健性三者在特定應用約束下的權衡結果。期望本研究之平台、框架與決策表，能為嵌入式 BMS 之 SOC 演算法選型提供一份誠實而可操作的參考。</w:t>
      </w:r>
    </w:p>
    <w:p>
      <w:pPr>
        <w:spacing w:lineRule="atLeast" w:line="360" w:before="240" w:after="120"/>
        <w:jc w:val="left"/>
      </w:pPr>
      <w:r>
        <w:rPr>
          <w:rFonts w:eastAsia="標楷體" w:ascii="Times New Roman" w:hAnsi="Times New Roman"/>
          <w:b/>
          <w:sz w:val="28"/>
        </w:rPr>
        <w:t>參考文獻</w:t>
      </w:r>
    </w:p>
    <w:p>
      <w:pPr>
        <w:spacing w:lineRule="atLeast" w:line="480"/>
        <w:ind w:left="480" w:hanging="480"/>
      </w:pPr>
      <w:r>
        <w:rPr>
          <w:rFonts w:eastAsia="標楷體" w:ascii="Times New Roman" w:hAnsi="Times New Roman"/>
          <w:b w:val="0"/>
          <w:i w:val="0"/>
          <w:sz w:val="24"/>
        </w:rPr>
        <w:t>[1] C.-H. Lin, C.-M. Wang, and C.-Y. Ho, "Implementation of State-of-Charge and State-of-Health Estimation for Lithium-Ion Batteries," 2016.</w:t>
      </w:r>
    </w:p>
    <w:p>
      <w:pPr>
        <w:spacing w:lineRule="atLeast" w:line="480"/>
        <w:ind w:left="480" w:hanging="480"/>
      </w:pPr>
      <w:r>
        <w:rPr>
          <w:rFonts w:eastAsia="標楷體" w:ascii="Times New Roman" w:hAnsi="Times New Roman"/>
          <w:b w:val="0"/>
          <w:i w:val="0"/>
          <w:sz w:val="24"/>
        </w:rPr>
        <w:t>[2] G. L. Bressanini, T. D. C. Busarello, and A. Péres, "Design and Implementation of Lead-Acid Battery State-of-Health and State-of-Charge Measurements," in Proc. IEEE, 2017.</w:t>
      </w:r>
    </w:p>
    <w:p>
      <w:pPr>
        <w:spacing w:lineRule="atLeast" w:line="480"/>
        <w:ind w:left="480" w:hanging="480"/>
      </w:pPr>
      <w:r>
        <w:rPr>
          <w:rFonts w:eastAsia="標楷體" w:ascii="Times New Roman" w:hAnsi="Times New Roman"/>
          <w:b w:val="0"/>
          <w:i w:val="0"/>
          <w:sz w:val="24"/>
        </w:rPr>
        <w:t>[3] G. L. Plett, "Extended Kalman Filtering for Battery Management Systems of LiPB-based HEV Battery Packs (Parts 1-3)," Journal of Power Sources, vol. 134, no. 2, pp. 252-292, 2004.</w:t>
      </w:r>
    </w:p>
    <w:p>
      <w:pPr>
        <w:spacing w:lineRule="atLeast" w:line="480"/>
        <w:ind w:left="480" w:hanging="480"/>
      </w:pPr>
      <w:r>
        <w:rPr>
          <w:rFonts w:eastAsia="標楷體" w:ascii="Times New Roman" w:hAnsi="Times New Roman"/>
          <w:b w:val="0"/>
          <w:i w:val="0"/>
          <w:sz w:val="24"/>
        </w:rPr>
        <w:t>[4] H. He, R. Xiong, and J. Fan, "Evaluation of Lithium-Ion Battery Equivalent Circuit Models for State of Charge Estimation by an Experimental Approach," Energies, vol. 4, no. 4, pp. 582-598, 2011.</w:t>
      </w:r>
    </w:p>
    <w:p>
      <w:pPr>
        <w:spacing w:lineRule="atLeast" w:line="480"/>
        <w:ind w:left="480" w:hanging="480"/>
      </w:pPr>
      <w:r>
        <w:rPr>
          <w:rFonts w:eastAsia="標楷體" w:ascii="Times New Roman" w:hAnsi="Times New Roman"/>
          <w:b w:val="0"/>
          <w:i w:val="0"/>
          <w:sz w:val="24"/>
        </w:rPr>
        <w:t>[5] W. Weppner and R. A. Huggins, "Determination of the Kinetic Parameters of Mixed-Conducting Electrodes and Application to the System Li3Sb," Journal of The Electrochemical Society, vol. 124, no. 10, pp. 1569-1578, 1977.</w:t>
      </w:r>
    </w:p>
    <w:sectPr w:rsidR="001C6393" w:rsidRPr="00037F30"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00000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