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dvixxghbztb0" w:id="0"/>
      <w:bookmarkEnd w:id="0"/>
      <w:r w:rsidDel="00000000" w:rsidR="00000000" w:rsidRPr="00000000">
        <w:rPr>
          <w:rFonts w:ascii="Arial Unicode MS" w:cs="Arial Unicode MS" w:eastAsia="Arial Unicode MS" w:hAnsi="Arial Unicode MS"/>
          <w:rtl w:val="0"/>
        </w:rPr>
        <w:t xml:space="preserve">鉛蓄電池健康狀態 (SoH) 與充電狀態 (SoC) 測量設計與實作簡報</w:t>
      </w:r>
    </w:p>
    <w:p w:rsidR="00000000" w:rsidDel="00000000" w:rsidP="00000000" w:rsidRDefault="00000000" w:rsidRPr="00000000" w14:paraId="00000002">
      <w:pPr>
        <w:pStyle w:val="Heading4"/>
        <w:rPr/>
      </w:pPr>
      <w:bookmarkStart w:colFirst="0" w:colLast="0" w:name="_62o1th4sc9px" w:id="1"/>
      <w:bookmarkEnd w:id="1"/>
      <w:r w:rsidDel="00000000" w:rsidR="00000000" w:rsidRPr="00000000">
        <w:rPr>
          <w:rFonts w:ascii="Arial Unicode MS" w:cs="Arial Unicode MS" w:eastAsia="Arial Unicode MS" w:hAnsi="Arial Unicode MS"/>
          <w:rtl w:val="0"/>
        </w:rPr>
        <w:t xml:space="preserve">執行摘要</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本文件旨在彙整關於鉛蓄電池健康狀態 (SoH) 與充電狀態 (SoC) 估算器設計與實作的核心研究成果。隨著再生能源整合需求增加，精確的電池狀態監控成為能源管理系統的關鍵。本研究提出了一套簡單且高效的解決方案：利用 </w:t>
      </w:r>
      <w:r w:rsidDel="00000000" w:rsidR="00000000" w:rsidRPr="00000000">
        <w:rPr>
          <w:rFonts w:ascii="Arial Unicode MS" w:cs="Arial Unicode MS" w:eastAsia="Arial Unicode MS" w:hAnsi="Arial Unicode MS"/>
          <w:b w:val="1"/>
          <w:bCs w:val="1"/>
          <w:rtl w:val="0"/>
        </w:rPr>
        <w:t xml:space="preserve">庫倫計數法 (Coulomb Counting)</w:t>
      </w:r>
      <w:r w:rsidDel="00000000" w:rsidR="00000000" w:rsidRPr="00000000">
        <w:rPr>
          <w:rFonts w:ascii="Arial Unicode MS" w:cs="Arial Unicode MS" w:eastAsia="Arial Unicode MS" w:hAnsi="Arial Unicode MS"/>
          <w:rtl w:val="0"/>
        </w:rPr>
        <w:t xml:space="preserve">  估算 SoC，並透過 </w:t>
      </w:r>
      <w:r w:rsidDel="00000000" w:rsidR="00000000" w:rsidRPr="00000000">
        <w:rPr>
          <w:rFonts w:ascii="Arial Unicode MS" w:cs="Arial Unicode MS" w:eastAsia="Arial Unicode MS" w:hAnsi="Arial Unicode MS"/>
          <w:b w:val="1"/>
          <w:bCs w:val="1"/>
          <w:rtl w:val="0"/>
        </w:rPr>
        <w:t xml:space="preserve">脈衝響應下的內阻分析</w:t>
      </w:r>
      <w:r w:rsidDel="00000000" w:rsidR="00000000" w:rsidRPr="00000000">
        <w:rPr>
          <w:rFonts w:ascii="Arial Unicode MS" w:cs="Arial Unicode MS" w:eastAsia="Arial Unicode MS" w:hAnsi="Arial Unicode MS"/>
          <w:rtl w:val="0"/>
        </w:rPr>
        <w:t xml:space="preserve"> （基於歐姆定律）來評估 SoH。實驗結果證實，該方法能有效反映電池在充放電過程中的能量剩餘與老化狀況，且具備實時應用的潛力。</w:t>
      </w:r>
    </w:p>
    <w:p w:rsidR="00000000" w:rsidDel="00000000" w:rsidP="00000000" w:rsidRDefault="00000000" w:rsidRPr="00000000" w14:paraId="00000004">
      <w:pPr>
        <w:pStyle w:val="Heading4"/>
        <w:rPr/>
      </w:pPr>
      <w:bookmarkStart w:colFirst="0" w:colLast="0" w:name="_4pdc4plx404c" w:id="2"/>
      <w:bookmarkEnd w:id="2"/>
      <w:r w:rsidDel="00000000" w:rsidR="00000000" w:rsidRPr="00000000">
        <w:rPr>
          <w:rFonts w:ascii="Arial Unicode MS" w:cs="Arial Unicode MS" w:eastAsia="Arial Unicode MS" w:hAnsi="Arial Unicode MS"/>
          <w:rtl w:val="0"/>
        </w:rPr>
        <w:t xml:space="preserve">1. 電池技術背景分析</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在儲能技術的選擇上，必須考量成本、循環壽命、能量密度與操作環境。下表彙整了文中提及的主要電池技術特性：| 電池類型 | 效率 | 循環壽命 | 優點 | 缺點 / 限制 || ------ | ------ | ------ | ------ | ------ || </w:t>
      </w:r>
      <w:r w:rsidDel="00000000" w:rsidR="00000000" w:rsidRPr="00000000">
        <w:rPr>
          <w:rFonts w:ascii="Arial Unicode MS" w:cs="Arial Unicode MS" w:eastAsia="Arial Unicode MS" w:hAnsi="Arial Unicode MS"/>
          <w:b w:val="1"/>
          <w:bCs w:val="1"/>
          <w:rtl w:val="0"/>
        </w:rPr>
        <w:t xml:space="preserve">鋰離子 (Li-ion)</w:t>
      </w:r>
      <w:r w:rsidDel="00000000" w:rsidR="00000000" w:rsidRPr="00000000">
        <w:rPr>
          <w:rFonts w:ascii="Arial Unicode MS" w:cs="Arial Unicode MS" w:eastAsia="Arial Unicode MS" w:hAnsi="Arial Unicode MS"/>
          <w:rtl w:val="0"/>
        </w:rPr>
        <w:t xml:space="preserve"> | 約 95% | ~3000 次 | 高能量密度、高功率密度 | 成本高、需複雜的保護電路 || </w:t>
      </w:r>
      <w:r w:rsidDel="00000000" w:rsidR="00000000" w:rsidRPr="00000000">
        <w:rPr>
          <w:rFonts w:ascii="Arial Unicode MS" w:cs="Arial Unicode MS" w:eastAsia="Arial Unicode MS" w:hAnsi="Arial Unicode MS"/>
          <w:b w:val="1"/>
          <w:bCs w:val="1"/>
          <w:rtl w:val="0"/>
        </w:rPr>
        <w:t xml:space="preserve">鎳鎘 (NiCd)</w:t>
      </w:r>
      <w:r w:rsidDel="00000000" w:rsidR="00000000" w:rsidRPr="00000000">
        <w:rPr>
          <w:rFonts w:ascii="Arial Unicode MS" w:cs="Arial Unicode MS" w:eastAsia="Arial Unicode MS" w:hAnsi="Arial Unicode MS"/>
          <w:rtl w:val="0"/>
        </w:rPr>
        <w:t xml:space="preserve"> | - | - | 適用於 UPS 與啟動裝置 | 環境污染（鎘毒性）、銷售下降 || </w:t>
      </w:r>
      <w:r w:rsidDel="00000000" w:rsidR="00000000" w:rsidRPr="00000000">
        <w:rPr>
          <w:rFonts w:ascii="Arial Unicode MS" w:cs="Arial Unicode MS" w:eastAsia="Arial Unicode MS" w:hAnsi="Arial Unicode MS"/>
          <w:b w:val="1"/>
          <w:bCs w:val="1"/>
          <w:rtl w:val="0"/>
        </w:rPr>
        <w:t xml:space="preserve">鈉硫 (NaS)</w:t>
      </w:r>
      <w:r w:rsidDel="00000000" w:rsidR="00000000" w:rsidRPr="00000000">
        <w:rPr>
          <w:rFonts w:ascii="Arial Unicode MS" w:cs="Arial Unicode MS" w:eastAsia="Arial Unicode MS" w:hAnsi="Arial Unicode MS"/>
          <w:rtl w:val="0"/>
        </w:rPr>
        <w:t xml:space="preserve"> | 75 - 90% | ~2500 次 | 環保（99%可回收）、高能量密度 | 高資本成本、運作溫度需達 350 °C || </w:t>
      </w:r>
      <w:r w:rsidDel="00000000" w:rsidR="00000000" w:rsidRPr="00000000">
        <w:rPr>
          <w:rFonts w:ascii="Arial Unicode MS" w:cs="Arial Unicode MS" w:eastAsia="Arial Unicode MS" w:hAnsi="Arial Unicode MS"/>
          <w:b w:val="1"/>
          <w:bCs w:val="1"/>
          <w:rtl w:val="0"/>
        </w:rPr>
        <w:t xml:space="preserve">鉛蓄電池 (Pb)</w:t>
      </w:r>
      <w:r w:rsidDel="00000000" w:rsidR="00000000" w:rsidRPr="00000000">
        <w:rPr>
          <w:rFonts w:ascii="Arial Unicode MS" w:cs="Arial Unicode MS" w:eastAsia="Arial Unicode MS" w:hAnsi="Arial Unicode MS"/>
          <w:rtl w:val="0"/>
        </w:rPr>
        <w:t xml:space="preserve"> | 65 - 80% | 400 - 2000 次 | 成本低、高可靠性、強大湧浪電流能力 | 能量密度較低、循環次數較少 |</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b w:val="1"/>
          <w:bCs w:val="1"/>
          <w:rtl w:val="0"/>
        </w:rPr>
        <w:t xml:space="preserve">研究選擇動機：</w:t>
      </w:r>
      <w:r w:rsidDel="00000000" w:rsidR="00000000" w:rsidRPr="00000000">
        <w:rPr>
          <w:rFonts w:ascii="Arial Unicode MS" w:cs="Arial Unicode MS" w:eastAsia="Arial Unicode MS" w:hAnsi="Arial Unicode MS"/>
          <w:rtl w:val="0"/>
        </w:rPr>
        <w:t xml:space="preserve">  儘管鋰電池市場持續擴大，但鉛蓄電池在不需要溫度控制、強調強韌性與低成本的特定領域（如 UPS 系統、電力品質調節設備）中仍具備不可替代的優勢。</w:t>
      </w:r>
    </w:p>
    <w:p w:rsidR="00000000" w:rsidDel="00000000" w:rsidP="00000000" w:rsidRDefault="00000000" w:rsidRPr="00000000" w14:paraId="00000007">
      <w:pPr>
        <w:pStyle w:val="Heading4"/>
        <w:rPr/>
      </w:pPr>
      <w:bookmarkStart w:colFirst="0" w:colLast="0" w:name="_wdmj6ijnw866" w:id="3"/>
      <w:bookmarkEnd w:id="3"/>
      <w:r w:rsidDel="00000000" w:rsidR="00000000" w:rsidRPr="00000000">
        <w:rPr>
          <w:rFonts w:ascii="Arial Unicode MS" w:cs="Arial Unicode MS" w:eastAsia="Arial Unicode MS" w:hAnsi="Arial Unicode MS"/>
          <w:rtl w:val="0"/>
        </w:rPr>
        <w:t xml:space="preserve">2. 充電狀態 (SoC) 估算原理與方法</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SoC 代表電池當前儲存能量的百分比。本設計採用庫倫計數法，透過監控進入或流出電池的電荷量來計算。</w:t>
      </w:r>
    </w:p>
    <w:p w:rsidR="00000000" w:rsidDel="00000000" w:rsidP="00000000" w:rsidRDefault="00000000" w:rsidRPr="00000000" w14:paraId="00000009">
      <w:pPr>
        <w:pStyle w:val="Heading5"/>
        <w:rPr/>
      </w:pPr>
      <w:bookmarkStart w:colFirst="0" w:colLast="0" w:name="_kz0ca4y9py83" w:id="4"/>
      <w:bookmarkEnd w:id="4"/>
      <w:r w:rsidDel="00000000" w:rsidR="00000000" w:rsidRPr="00000000">
        <w:rPr>
          <w:rFonts w:ascii="Arial Unicode MS" w:cs="Arial Unicode MS" w:eastAsia="Arial Unicode MS" w:hAnsi="Arial Unicode MS"/>
          <w:rtl w:val="0"/>
        </w:rPr>
        <w:t xml:space="preserve">2.1 數學模型</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SoC 的計算公式如下：  $$SoC = \frac{C_a - \int i dt}{C_a} \times 100\%$$</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$C_a</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Fonts w:ascii="Arial Unicode MS" w:cs="Arial Unicode MS" w:eastAsia="Arial Unicode MS" w:hAnsi="Arial Unicode MS"/>
          <w:rtl w:val="0"/>
        </w:rPr>
        <w:t xml:space="preserve">  電池的放電容量。</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$\int i dt</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Fonts w:ascii="Arial Unicode MS" w:cs="Arial Unicode MS" w:eastAsia="Arial Unicode MS" w:hAnsi="Arial Unicode MS"/>
          <w:rtl w:val="0"/>
        </w:rPr>
        <w:t xml:space="preserve">  電流對時間的積分，代表消耗或儲存的電量。</w:t>
      </w:r>
    </w:p>
    <w:p w:rsidR="00000000" w:rsidDel="00000000" w:rsidP="00000000" w:rsidRDefault="00000000" w:rsidRPr="00000000" w14:paraId="0000000D">
      <w:pPr>
        <w:pStyle w:val="Heading5"/>
        <w:rPr/>
      </w:pPr>
      <w:bookmarkStart w:colFirst="0" w:colLast="0" w:name="_qdb9n6juk2rz" w:id="5"/>
      <w:bookmarkEnd w:id="5"/>
      <w:r w:rsidDel="00000000" w:rsidR="00000000" w:rsidRPr="00000000">
        <w:rPr>
          <w:rFonts w:ascii="Arial Unicode MS" w:cs="Arial Unicode MS" w:eastAsia="Arial Unicode MS" w:hAnsi="Arial Unicode MS"/>
          <w:rtl w:val="0"/>
        </w:rPr>
        <w:t xml:space="preserve">2.2 放電容量 ( $C_a$ ) 的測定</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由於每顆電池的物理特性差異，必須實測其有效容量，而非單純依賴製造商標稱值：</w:t>
      </w:r>
    </w:p>
    <w:p w:rsidR="00000000" w:rsidDel="00000000" w:rsidP="00000000" w:rsidRDefault="00000000" w:rsidRPr="00000000" w14:paraId="0000000F">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完全充電：</w:t>
      </w:r>
      <w:r w:rsidDel="00000000" w:rsidR="00000000" w:rsidRPr="00000000">
        <w:rPr>
          <w:rFonts w:ascii="Arial Unicode MS" w:cs="Arial Unicode MS" w:eastAsia="Arial Unicode MS" w:hAnsi="Arial Unicode MS"/>
          <w:rtl w:val="0"/>
        </w:rPr>
        <w:t xml:space="preserve">  將端電壓充至高於額定電壓 1.5V。</w:t>
      </w:r>
    </w:p>
    <w:p w:rsidR="00000000" w:rsidDel="00000000" w:rsidP="00000000" w:rsidRDefault="00000000" w:rsidRPr="00000000" w14:paraId="00000010">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完全放電：</w:t>
      </w:r>
      <w:r w:rsidDel="00000000" w:rsidR="00000000" w:rsidRPr="00000000">
        <w:rPr>
          <w:rFonts w:ascii="Arial Unicode MS" w:cs="Arial Unicode MS" w:eastAsia="Arial Unicode MS" w:hAnsi="Arial Unicode MS"/>
          <w:rtl w:val="0"/>
        </w:rPr>
        <w:t xml:space="preserve">  進行放電直至端電壓出現陡降（Abrupt drop）。</w:t>
      </w:r>
    </w:p>
    <w:p w:rsidR="00000000" w:rsidDel="00000000" w:rsidP="00000000" w:rsidRDefault="00000000" w:rsidRPr="00000000" w14:paraId="00000011">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計算有效</w:t>
      </w:r>
      <w:r w:rsidDel="00000000" w:rsidR="00000000" w:rsidRPr="00000000">
        <w:rPr>
          <w:rtl w:val="0"/>
        </w:rPr>
        <w:t xml:space="preserve">  </w:t>
      </w:r>
      <w:r w:rsidDel="00000000" w:rsidR="00000000" w:rsidRPr="00000000">
        <w:rPr>
          <w:b w:val="1"/>
          <w:bCs w:val="1"/>
          <w:rtl w:val="0"/>
        </w:rPr>
        <w:t xml:space="preserve">$C_a</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Fonts w:ascii="Arial Unicode MS" w:cs="Arial Unicode MS" w:eastAsia="Arial Unicode MS" w:hAnsi="Arial Unicode MS"/>
          <w:rtl w:val="0"/>
        </w:rPr>
        <w:t xml:space="preserve">  使用一個預設的高估值（如每 Ah 單位對應 5000）進行初步 SoC 運算，再透過以下公式修正：  $$Ca = \frac{Ca_{sti} \times (100 - SoC)}{100}$$   </w:t>
      </w:r>
      <w:r w:rsidDel="00000000" w:rsidR="00000000" w:rsidRPr="00000000">
        <w:rPr>
          <w:rFonts w:ascii="Arial Unicode MS" w:cs="Arial Unicode MS" w:eastAsia="Arial Unicode MS" w:hAnsi="Arial Unicode MS"/>
          <w:i w:val="1"/>
          <w:iCs w:val="1"/>
          <w:rtl w:val="0"/>
        </w:rPr>
        <w:t xml:space="preserve">其中</w:t>
      </w:r>
      <w:r w:rsidDel="00000000" w:rsidR="00000000" w:rsidRPr="00000000">
        <w:rPr>
          <w:rtl w:val="0"/>
        </w:rPr>
        <w:t xml:space="preserve">  </w:t>
      </w:r>
      <w:r w:rsidDel="00000000" w:rsidR="00000000" w:rsidRPr="00000000">
        <w:rPr>
          <w:i w:val="1"/>
          <w:iCs w:val="1"/>
          <w:rtl w:val="0"/>
        </w:rPr>
        <w:t xml:space="preserve">$Ca_{sti}</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為預設值，</w:t>
      </w:r>
      <w:r w:rsidDel="00000000" w:rsidR="00000000" w:rsidRPr="00000000">
        <w:rPr>
          <w:rtl w:val="0"/>
        </w:rPr>
        <w:t xml:space="preserve">  </w:t>
      </w:r>
      <w:r w:rsidDel="00000000" w:rsidR="00000000" w:rsidRPr="00000000">
        <w:rPr>
          <w:i w:val="1"/>
          <w:iCs w:val="1"/>
          <w:rtl w:val="0"/>
        </w:rPr>
        <w:t xml:space="preserve">$SoC</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為放電至終點時得到的百分比值。</w:t>
      </w:r>
    </w:p>
    <w:p w:rsidR="00000000" w:rsidDel="00000000" w:rsidP="00000000" w:rsidRDefault="00000000" w:rsidRPr="00000000" w14:paraId="00000012">
      <w:pPr>
        <w:pStyle w:val="Heading4"/>
        <w:rPr/>
      </w:pPr>
      <w:bookmarkStart w:colFirst="0" w:colLast="0" w:name="_gqi6i3bxcbow" w:id="6"/>
      <w:bookmarkEnd w:id="6"/>
      <w:r w:rsidDel="00000000" w:rsidR="00000000" w:rsidRPr="00000000">
        <w:rPr>
          <w:rFonts w:ascii="Arial Unicode MS" w:cs="Arial Unicode MS" w:eastAsia="Arial Unicode MS" w:hAnsi="Arial Unicode MS"/>
          <w:rtl w:val="0"/>
        </w:rPr>
        <w:t xml:space="preserve">3. 健康狀態 (SoH) 估算與分級</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SoH 反映電池的老化程度，通常與電池內阻的增加成反比。</w:t>
      </w:r>
    </w:p>
    <w:p w:rsidR="00000000" w:rsidDel="00000000" w:rsidP="00000000" w:rsidRDefault="00000000" w:rsidRPr="00000000" w14:paraId="00000014">
      <w:pPr>
        <w:pStyle w:val="Heading5"/>
        <w:rPr/>
      </w:pPr>
      <w:bookmarkStart w:colFirst="0" w:colLast="0" w:name="_cuktgekdhxjk" w:id="7"/>
      <w:bookmarkEnd w:id="7"/>
      <w:r w:rsidDel="00000000" w:rsidR="00000000" w:rsidRPr="00000000">
        <w:rPr>
          <w:rFonts w:ascii="Arial Unicode MS" w:cs="Arial Unicode MS" w:eastAsia="Arial Unicode MS" w:hAnsi="Arial Unicode MS"/>
          <w:rtl w:val="0"/>
        </w:rPr>
        <w:t xml:space="preserve">3.1 內阻測量與計算</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透過對電池施加電流脈衝並監測電壓與電流的響應變化，利用歐姆定律計算實測內阻 ( $R_i$ )：  $$R_i = \frac{V_B - V_{B0}}{I_B - I_{B0}}$$</w:t>
      </w:r>
    </w:p>
    <w:p w:rsidR="00000000" w:rsidDel="00000000" w:rsidP="00000000" w:rsidRDefault="00000000" w:rsidRPr="00000000" w14:paraId="00000016">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$V_{B0}, I_{B0}$ ：脈衝前的電壓與電流。</w:t>
      </w:r>
    </w:p>
    <w:p w:rsidR="00000000" w:rsidDel="00000000" w:rsidP="00000000" w:rsidRDefault="00000000" w:rsidRPr="00000000" w14:paraId="00000017">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$V_B, I_B$ ：脈衝發生後的電壓與電流。</w:t>
      </w:r>
    </w:p>
    <w:p w:rsidR="00000000" w:rsidDel="00000000" w:rsidP="00000000" w:rsidRDefault="00000000" w:rsidRPr="00000000" w14:paraId="00000018">
      <w:pPr>
        <w:pStyle w:val="Heading5"/>
        <w:rPr/>
      </w:pPr>
      <w:bookmarkStart w:colFirst="0" w:colLast="0" w:name="_r14y83qd7qpa" w:id="8"/>
      <w:bookmarkEnd w:id="8"/>
      <w:r w:rsidDel="00000000" w:rsidR="00000000" w:rsidRPr="00000000">
        <w:rPr>
          <w:rFonts w:ascii="Arial Unicode MS" w:cs="Arial Unicode MS" w:eastAsia="Arial Unicode MS" w:hAnsi="Arial Unicode MS"/>
          <w:rtl w:val="0"/>
        </w:rPr>
        <w:t xml:space="preserve">3.2 SoH 百分比公式</w:t>
      </w:r>
    </w:p>
    <w:p w:rsidR="00000000" w:rsidDel="00000000" w:rsidP="00000000" w:rsidRDefault="00000000" w:rsidRPr="00000000" w14:paraId="00000019">
      <w:pPr>
        <w:rPr/>
      </w:pPr>
      <w:r w:rsidDel="00000000" w:rsidR="00000000" w:rsidRPr="00000000">
        <w:rPr>
          <w:rtl w:val="0"/>
        </w:rPr>
        <w:t xml:space="preserve">$$SoH = \frac{R_{EoL} - R_i}{R_{EoL} - R_n} \times 100\%$$</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$R_{EoL}</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Fonts w:ascii="Arial Unicode MS" w:cs="Arial Unicode MS" w:eastAsia="Arial Unicode MS" w:hAnsi="Arial Unicode MS"/>
          <w:rtl w:val="0"/>
        </w:rPr>
        <w:t xml:space="preserve">  電池壽命結束時（End of Life）的內阻。</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$R_n</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Fonts w:ascii="Arial Unicode MS" w:cs="Arial Unicode MS" w:eastAsia="Arial Unicode MS" w:hAnsi="Arial Unicode MS"/>
          <w:rtl w:val="0"/>
        </w:rPr>
        <w:t xml:space="preserve">  電池全新時（New）的內阻。</w:t>
      </w:r>
    </w:p>
    <w:p w:rsidR="00000000" w:rsidDel="00000000" w:rsidP="00000000" w:rsidRDefault="00000000" w:rsidRPr="00000000" w14:paraId="0000001C">
      <w:pPr>
        <w:pStyle w:val="Heading5"/>
        <w:rPr/>
      </w:pPr>
      <w:bookmarkStart w:colFirst="0" w:colLast="0" w:name="_cwuyxrzvrrd" w:id="9"/>
      <w:bookmarkEnd w:id="9"/>
      <w:r w:rsidDel="00000000" w:rsidR="00000000" w:rsidRPr="00000000">
        <w:rPr>
          <w:rFonts w:ascii="Arial Unicode MS" w:cs="Arial Unicode MS" w:eastAsia="Arial Unicode MS" w:hAnsi="Arial Unicode MS"/>
          <w:rtl w:val="0"/>
        </w:rPr>
        <w:t xml:space="preserve">3.3 SoH 分類標準</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健康狀態分級,百分比範圍</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優秀 (Excellent),$95\% &lt; SoH \leq 100\%$</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良好 (Good),$90\% &lt; SoH \leq 95\%$</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普通 (Regular),$85\% &lt; SoH \leq 90\%$</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較差 (Bad),$80\% &lt; SoH \leq 85\%$</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極差 (Very Bad),$SoH \leq 80\%$</w:t>
      </w:r>
    </w:p>
    <w:p w:rsidR="00000000" w:rsidDel="00000000" w:rsidP="00000000" w:rsidRDefault="00000000" w:rsidRPr="00000000" w14:paraId="00000023">
      <w:pPr>
        <w:pStyle w:val="Heading4"/>
        <w:rPr/>
      </w:pPr>
      <w:bookmarkStart w:colFirst="0" w:colLast="0" w:name="_aqtq2rqdc6af" w:id="10"/>
      <w:bookmarkEnd w:id="10"/>
      <w:r w:rsidDel="00000000" w:rsidR="00000000" w:rsidRPr="00000000">
        <w:rPr>
          <w:rFonts w:ascii="Arial Unicode MS" w:cs="Arial Unicode MS" w:eastAsia="Arial Unicode MS" w:hAnsi="Arial Unicode MS"/>
          <w:rtl w:val="0"/>
        </w:rPr>
        <w:t xml:space="preserve">4. 硬體實作與系統架構</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為驗證上述演算法，研究團隊開發了原型機，主要組件如下：</w:t>
      </w:r>
    </w:p>
    <w:p w:rsidR="00000000" w:rsidDel="00000000" w:rsidP="00000000" w:rsidRDefault="00000000" w:rsidRPr="00000000" w14:paraId="00000025">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微控制器：</w:t>
      </w:r>
      <w:r w:rsidDel="00000000" w:rsidR="00000000" w:rsidRPr="00000000">
        <w:rPr>
          <w:rFonts w:ascii="Arial Unicode MS" w:cs="Arial Unicode MS" w:eastAsia="Arial Unicode MS" w:hAnsi="Arial Unicode MS"/>
          <w:rtl w:val="0"/>
        </w:rPr>
        <w:t xml:space="preserve">  Texas Instruments TMS320F28335。</w:t>
      </w:r>
    </w:p>
    <w:p w:rsidR="00000000" w:rsidDel="00000000" w:rsidP="00000000" w:rsidRDefault="00000000" w:rsidRPr="00000000" w14:paraId="00000026">
      <w:pPr>
        <w:numPr>
          <w:ilvl w:val="0"/>
          <w:numId w:val="4"/>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感測器：</w:t>
      </w:r>
    </w:p>
    <w:p w:rsidR="00000000" w:rsidDel="00000000" w:rsidP="00000000" w:rsidRDefault="00000000" w:rsidRPr="00000000" w14:paraId="00000027">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電流感測器：LA 55-P (LEM)。</w:t>
      </w:r>
    </w:p>
    <w:p w:rsidR="00000000" w:rsidDel="00000000" w:rsidP="00000000" w:rsidRDefault="00000000" w:rsidRPr="00000000" w14:paraId="00000028">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電壓感測器：LV 55-P (LEM)。</w:t>
      </w:r>
    </w:p>
    <w:p w:rsidR="00000000" w:rsidDel="00000000" w:rsidP="00000000" w:rsidRDefault="00000000" w:rsidRPr="00000000" w14:paraId="00000029">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開關元件：</w:t>
      </w:r>
      <w:r w:rsidDel="00000000" w:rsidR="00000000" w:rsidRPr="00000000">
        <w:rPr>
          <w:rFonts w:ascii="Arial Unicode MS" w:cs="Arial Unicode MS" w:eastAsia="Arial Unicode MS" w:hAnsi="Arial Unicode MS"/>
          <w:rtl w:val="0"/>
        </w:rPr>
        <w:t xml:space="preserve">  固態繼電器 Ssr-25dd（用於施加脈衝，開啟延遲約 40  $\mu s$ ）。</w:t>
      </w:r>
    </w:p>
    <w:p w:rsidR="00000000" w:rsidDel="00000000" w:rsidP="00000000" w:rsidRDefault="00000000" w:rsidRPr="00000000" w14:paraId="0000002A">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信號調理電路：</w:t>
      </w:r>
      <w:r w:rsidDel="00000000" w:rsidR="00000000" w:rsidRPr="00000000">
        <w:rPr>
          <w:rFonts w:ascii="Arial Unicode MS" w:cs="Arial Unicode MS" w:eastAsia="Arial Unicode MS" w:hAnsi="Arial Unicode MS"/>
          <w:rtl w:val="0"/>
        </w:rPr>
        <w:t xml:space="preserve">  使用運算放大器與電位器將感測器信號縮放為 1/10，以適配微控制器輸入。</w:t>
      </w:r>
    </w:p>
    <w:p w:rsidR="00000000" w:rsidDel="00000000" w:rsidP="00000000" w:rsidRDefault="00000000" w:rsidRPr="00000000" w14:paraId="0000002B">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採樣頻率：</w:t>
      </w:r>
      <w:r w:rsidDel="00000000" w:rsidR="00000000" w:rsidRPr="00000000">
        <w:rPr>
          <w:rFonts w:ascii="Arial Unicode MS" w:cs="Arial Unicode MS" w:eastAsia="Arial Unicode MS" w:hAnsi="Arial Unicode MS"/>
          <w:rtl w:val="0"/>
        </w:rPr>
        <w:t xml:space="preserve">  SoC 估算為 5 kHz；內阻測量則高達 500 kHz，以精確捕捉脈衝響應。</w:t>
      </w:r>
    </w:p>
    <w:p w:rsidR="00000000" w:rsidDel="00000000" w:rsidP="00000000" w:rsidRDefault="00000000" w:rsidRPr="00000000" w14:paraId="0000002C">
      <w:pPr>
        <w:pStyle w:val="Heading4"/>
        <w:rPr/>
      </w:pPr>
      <w:bookmarkStart w:colFirst="0" w:colLast="0" w:name="_kbcbzdiduiu8" w:id="11"/>
      <w:bookmarkEnd w:id="11"/>
      <w:r w:rsidDel="00000000" w:rsidR="00000000" w:rsidRPr="00000000">
        <w:rPr>
          <w:rFonts w:ascii="Arial Unicode MS" w:cs="Arial Unicode MS" w:eastAsia="Arial Unicode MS" w:hAnsi="Arial Unicode MS"/>
          <w:rtl w:val="0"/>
        </w:rPr>
        <w:t xml:space="preserve">5. 實驗結果與結論</w:t>
      </w:r>
    </w:p>
    <w:p w:rsidR="00000000" w:rsidDel="00000000" w:rsidP="00000000" w:rsidRDefault="00000000" w:rsidRPr="00000000" w14:paraId="0000002D">
      <w:pPr>
        <w:pStyle w:val="Heading5"/>
        <w:rPr/>
      </w:pPr>
      <w:bookmarkStart w:colFirst="0" w:colLast="0" w:name="_8hlu227sm4zn" w:id="12"/>
      <w:bookmarkEnd w:id="12"/>
      <w:r w:rsidDel="00000000" w:rsidR="00000000" w:rsidRPr="00000000">
        <w:rPr>
          <w:rFonts w:ascii="Arial Unicode MS" w:cs="Arial Unicode MS" w:eastAsia="Arial Unicode MS" w:hAnsi="Arial Unicode MS"/>
          <w:rtl w:val="0"/>
        </w:rPr>
        <w:t xml:space="preserve">5.1 關鍵觀測結果</w:t>
      </w:r>
    </w:p>
    <w:p w:rsidR="00000000" w:rsidDel="00000000" w:rsidP="00000000" w:rsidRDefault="00000000" w:rsidRPr="00000000" w14:paraId="0000002E">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內阻與循環次數：</w:t>
      </w:r>
      <w:r w:rsidDel="00000000" w:rsidR="00000000" w:rsidRPr="00000000">
        <w:rPr>
          <w:rFonts w:ascii="Arial Unicode MS" w:cs="Arial Unicode MS" w:eastAsia="Arial Unicode MS" w:hAnsi="Arial Unicode MS"/>
          <w:rtl w:val="0"/>
        </w:rPr>
        <w:t xml:space="preserve">  實驗顯示隨著電池循環次數增加（測試 10 次循環），內阻呈現上升趨勢，直接證實了 SoH 隨使用次數下降的特性。</w:t>
      </w:r>
    </w:p>
    <w:p w:rsidR="00000000" w:rsidDel="00000000" w:rsidP="00000000" w:rsidRDefault="00000000" w:rsidRPr="00000000" w14:paraId="0000002F">
      <w:pPr>
        <w:numPr>
          <w:ilvl w:val="0"/>
          <w:numId w:val="7"/>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SoC 驗證：</w:t>
      </w:r>
    </w:p>
    <w:p w:rsidR="00000000" w:rsidDel="00000000" w:rsidP="00000000" w:rsidRDefault="00000000" w:rsidRPr="00000000" w14:paraId="00000030">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放電過程：</w:t>
      </w:r>
      <w:r w:rsidDel="00000000" w:rsidR="00000000" w:rsidRPr="00000000">
        <w:rPr>
          <w:rFonts w:ascii="Arial Unicode MS" w:cs="Arial Unicode MS" w:eastAsia="Arial Unicode MS" w:hAnsi="Arial Unicode MS"/>
          <w:rtl w:val="0"/>
        </w:rPr>
        <w:t xml:space="preserve">  使用不同電阻（2.3  $\Omega$  至 6.8  $\Omega$ ）進行測試，SoC 與電池端電壓的下降高度相關。</w:t>
      </w:r>
    </w:p>
    <w:p w:rsidR="00000000" w:rsidDel="00000000" w:rsidP="00000000" w:rsidRDefault="00000000" w:rsidRPr="00000000" w14:paraId="00000031">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充電過程：</w:t>
      </w:r>
      <w:r w:rsidDel="00000000" w:rsidR="00000000" w:rsidRPr="00000000">
        <w:rPr>
          <w:rFonts w:ascii="Arial Unicode MS" w:cs="Arial Unicode MS" w:eastAsia="Arial Unicode MS" w:hAnsi="Arial Unicode MS"/>
          <w:rtl w:val="0"/>
        </w:rPr>
        <w:t xml:space="preserve">  使用 15V 電源為 12V/2.3Ah 電池充電，SoC 隨電壓上升與電流變化之曲線符合鉛蓄電池理論行為。</w:t>
      </w:r>
    </w:p>
    <w:p w:rsidR="00000000" w:rsidDel="00000000" w:rsidP="00000000" w:rsidRDefault="00000000" w:rsidRPr="00000000" w14:paraId="00000032">
      <w:pPr>
        <w:pStyle w:val="Heading5"/>
        <w:rPr/>
      </w:pPr>
      <w:bookmarkStart w:colFirst="0" w:colLast="0" w:name="_ld7rkdco4vyk" w:id="13"/>
      <w:bookmarkEnd w:id="13"/>
      <w:r w:rsidDel="00000000" w:rsidR="00000000" w:rsidRPr="00000000">
        <w:rPr>
          <w:rFonts w:ascii="Arial Unicode MS" w:cs="Arial Unicode MS" w:eastAsia="Arial Unicode MS" w:hAnsi="Arial Unicode MS"/>
          <w:rtl w:val="0"/>
        </w:rPr>
        <w:t xml:space="preserve">5.2 核心結論</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本研究所提出的估算器具備以下優勢：</w:t>
      </w:r>
    </w:p>
    <w:p w:rsidR="00000000" w:rsidDel="00000000" w:rsidP="00000000" w:rsidRDefault="00000000" w:rsidRPr="00000000" w14:paraId="00000034">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實時性：</w:t>
      </w:r>
      <w:r w:rsidDel="00000000" w:rsidR="00000000" w:rsidRPr="00000000">
        <w:rPr>
          <w:rFonts w:ascii="Arial Unicode MS" w:cs="Arial Unicode MS" w:eastAsia="Arial Unicode MS" w:hAnsi="Arial Unicode MS"/>
          <w:rtl w:val="0"/>
        </w:rPr>
        <w:t xml:space="preserve">  能夠在電池運行期間持續監測。</w:t>
      </w:r>
    </w:p>
    <w:p w:rsidR="00000000" w:rsidDel="00000000" w:rsidP="00000000" w:rsidRDefault="00000000" w:rsidRPr="00000000" w14:paraId="00000035">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獨立性：</w:t>
      </w:r>
      <w:r w:rsidDel="00000000" w:rsidR="00000000" w:rsidRPr="00000000">
        <w:rPr>
          <w:rFonts w:ascii="Arial Unicode MS" w:cs="Arial Unicode MS" w:eastAsia="Arial Unicode MS" w:hAnsi="Arial Unicode MS"/>
          <w:rtl w:val="0"/>
        </w:rPr>
        <w:t xml:space="preserve">  SoC 與 SoH 估算不受用於處理能量的 DC/AC 轉換器類型影響。</w:t>
      </w:r>
    </w:p>
    <w:p w:rsidR="00000000" w:rsidDel="00000000" w:rsidP="00000000" w:rsidRDefault="00000000" w:rsidRPr="00000000" w14:paraId="00000036">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靈活性：</w:t>
      </w:r>
      <w:r w:rsidDel="00000000" w:rsidR="00000000" w:rsidRPr="00000000">
        <w:rPr>
          <w:rFonts w:ascii="Arial Unicode MS" w:cs="Arial Unicode MS" w:eastAsia="Arial Unicode MS" w:hAnsi="Arial Unicode MS"/>
          <w:rtl w:val="0"/>
        </w:rPr>
        <w:t xml:space="preserve">  只要有電流流過（無論方向），SoC 估算器即可運作；而 SoH 則在電池開始充電的時刻進行評估。總體而言，這套基於庫倫計數與歐姆定律的設計，為鉛蓄電池應用提供了一個既簡單又具備實驗驗證可靠性的監測方案。</w:t>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