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0zkmjyyiklq" w:id="0"/>
      <w:bookmarkEnd w:id="0"/>
      <w:r w:rsidDel="00000000" w:rsidR="00000000" w:rsidRPr="00000000">
        <w:rPr>
          <w:rFonts w:ascii="Arial Unicode MS" w:cs="Arial Unicode MS" w:eastAsia="Arial Unicode MS" w:hAnsi="Arial Unicode MS"/>
          <w:rtl w:val="0"/>
        </w:rPr>
        <w:t xml:space="preserve">基於多層神經網路的鋰電池電荷狀態估計與健康狀態診斷研究簡報</w:t>
      </w:r>
    </w:p>
    <w:p w:rsidR="00000000" w:rsidDel="00000000" w:rsidP="00000000" w:rsidRDefault="00000000" w:rsidRPr="00000000" w14:paraId="00000002">
      <w:pPr>
        <w:pStyle w:val="Heading4"/>
        <w:rPr/>
      </w:pPr>
      <w:bookmarkStart w:colFirst="0" w:colLast="0" w:name="_knxylp2jqtvd" w:id="1"/>
      <w:bookmarkEnd w:id="1"/>
      <w:r w:rsidDel="00000000" w:rsidR="00000000" w:rsidRPr="00000000">
        <w:rPr>
          <w:rFonts w:ascii="Arial Unicode MS" w:cs="Arial Unicode MS" w:eastAsia="Arial Unicode MS" w:hAnsi="Arial Unicode MS"/>
          <w:rtl w:val="0"/>
        </w:rPr>
        <w:t xml:space="preserve">執行摘要</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本文件詳細介紹了一種利用多層神經網路（MNN）進行鋰電池電荷狀態（SOC）估計與健康狀態（SOH）診斷的創新方法。隨著鋰電池在電動車、行動裝置及儲能系統（ESS）中的廣泛應用，精準監控電池狀態對於預防因電池退化而引起的火災或爆炸風險至關重要。本研究的核心在於建立一個整合系統：首先通過一個 SOH 診斷模型將電池狀態分類為「正常」、「警告」或「故障」，隨後根據診斷結果自動切換至相應的專屬 SOC 估計模型。實驗數據顯示，這種分類建模的方法顯著提升了估計精度，特別是在電池退化的不同階段，其平均絕對誤差（MAE）遠低於傳統的統一建模方法。</w:t>
      </w:r>
    </w:p>
    <w:p w:rsidR="00000000" w:rsidDel="00000000" w:rsidP="00000000" w:rsidRDefault="00000000" w:rsidRPr="00000000" w14:paraId="00000004">
      <w:pPr>
        <w:pStyle w:val="Heading4"/>
        <w:rPr/>
      </w:pPr>
      <w:bookmarkStart w:colFirst="0" w:colLast="0" w:name="_6fhdhkaaonsk" w:id="2"/>
      <w:bookmarkEnd w:id="2"/>
      <w:r w:rsidDel="00000000" w:rsidR="00000000" w:rsidRPr="00000000">
        <w:rPr>
          <w:rFonts w:ascii="Arial Unicode MS" w:cs="Arial Unicode MS" w:eastAsia="Arial Unicode MS" w:hAnsi="Arial Unicode MS"/>
          <w:rtl w:val="0"/>
        </w:rPr>
        <w:t xml:space="preserve">1. 背景與研究動機</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鋰電池的性能取決於內部的化學反應，這些化學物質會隨著時間和使用次數增加而逐漸退化，導致能量儲存容量下降。</w:t>
      </w:r>
    </w:p>
    <w:p w:rsidR="00000000" w:rsidDel="00000000" w:rsidP="00000000" w:rsidRDefault="00000000" w:rsidRPr="00000000" w14:paraId="00000006">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影響因素：</w:t>
      </w:r>
      <w:r w:rsidDel="00000000" w:rsidR="00000000" w:rsidRPr="00000000">
        <w:rPr>
          <w:rFonts w:ascii="Arial Unicode MS" w:cs="Arial Unicode MS" w:eastAsia="Arial Unicode MS" w:hAnsi="Arial Unicode MS"/>
          <w:rtl w:val="0"/>
        </w:rPr>
        <w:t xml:space="preserve">  高低溫環境、頻繁充電及過度放電均會縮短電池壽命。</w:t>
      </w:r>
    </w:p>
    <w:p w:rsidR="00000000" w:rsidDel="00000000" w:rsidP="00000000" w:rsidRDefault="00000000" w:rsidRPr="00000000" w14:paraId="00000007">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安全風險：</w:t>
      </w:r>
      <w:r w:rsidDel="00000000" w:rsidR="00000000" w:rsidRPr="00000000">
        <w:rPr>
          <w:rFonts w:ascii="Arial Unicode MS" w:cs="Arial Unicode MS" w:eastAsia="Arial Unicode MS" w:hAnsi="Arial Unicode MS"/>
          <w:rtl w:val="0"/>
        </w:rPr>
        <w:t xml:space="preserve">  在退化狀態下持續使用電池可能導致火災或爆炸事故。</w:t>
      </w:r>
    </w:p>
    <w:p w:rsidR="00000000" w:rsidDel="00000000" w:rsidP="00000000" w:rsidRDefault="00000000" w:rsidRPr="00000000" w14:paraId="00000008">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解決方案：</w:t>
      </w:r>
      <w:r w:rsidDel="00000000" w:rsidR="00000000" w:rsidRPr="00000000">
        <w:rPr>
          <w:rFonts w:ascii="Arial Unicode MS" w:cs="Arial Unicode MS" w:eastAsia="Arial Unicode MS" w:hAnsi="Arial Unicode MS"/>
          <w:rtl w:val="0"/>
        </w:rPr>
        <w:t xml:space="preserve">  開發高效的電池管理系統（BMS），透過演算法精準建模電池特性。</w:t>
      </w:r>
    </w:p>
    <w:p w:rsidR="00000000" w:rsidDel="00000000" w:rsidP="00000000" w:rsidRDefault="00000000" w:rsidRPr="00000000" w14:paraId="00000009">
      <w:pPr>
        <w:pStyle w:val="Heading4"/>
        <w:rPr/>
      </w:pPr>
      <w:bookmarkStart w:colFirst="0" w:colLast="0" w:name="_qbmbx2jfq36u" w:id="3"/>
      <w:bookmarkEnd w:id="3"/>
      <w:r w:rsidDel="00000000" w:rsidR="00000000" w:rsidRPr="00000000">
        <w:rPr>
          <w:rFonts w:ascii="Arial Unicode MS" w:cs="Arial Unicode MS" w:eastAsia="Arial Unicode MS" w:hAnsi="Arial Unicode MS"/>
          <w:rtl w:val="0"/>
        </w:rPr>
        <w:t xml:space="preserve">2. 核心參數定義與現有方法挑戰</w:t>
      </w:r>
    </w:p>
    <w:p w:rsidR="00000000" w:rsidDel="00000000" w:rsidP="00000000" w:rsidRDefault="00000000" w:rsidRPr="00000000" w14:paraId="0000000A">
      <w:pPr>
        <w:pStyle w:val="Heading5"/>
        <w:rPr/>
      </w:pPr>
      <w:bookmarkStart w:colFirst="0" w:colLast="0" w:name="_knkd8c5g2le7" w:id="4"/>
      <w:bookmarkEnd w:id="4"/>
      <w:r w:rsidDel="00000000" w:rsidR="00000000" w:rsidRPr="00000000">
        <w:rPr>
          <w:rFonts w:ascii="Arial Unicode MS" w:cs="Arial Unicode MS" w:eastAsia="Arial Unicode MS" w:hAnsi="Arial Unicode MS"/>
          <w:rtl w:val="0"/>
        </w:rPr>
        <w:t xml:space="preserve">2.1 電荷狀態 (SOC)</w:t>
      </w:r>
    </w:p>
    <w:p w:rsidR="00000000" w:rsidDel="00000000" w:rsidP="00000000" w:rsidRDefault="00000000" w:rsidRPr="00000000" w14:paraId="0000000B">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電池剩餘電量的百分比。</w:t>
      </w:r>
    </w:p>
    <w:p w:rsidR="00000000" w:rsidDel="00000000" w:rsidP="00000000" w:rsidRDefault="00000000" w:rsidRPr="00000000" w14:paraId="0000000C">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計算公式：</w:t>
      </w:r>
      <w:r w:rsidDel="00000000" w:rsidR="00000000" w:rsidRPr="00000000">
        <w:rPr>
          <w:rFonts w:ascii="Arial Unicode MS" w:cs="Arial Unicode MS" w:eastAsia="Arial Unicode MS" w:hAnsi="Arial Unicode MS"/>
          <w:rtl w:val="0"/>
        </w:rPr>
        <w:t xml:space="preserve">   $SOC = \frac{\text{當前可釋放容量}}{\text{額定容量}} \times 100\%$</w:t>
      </w:r>
    </w:p>
    <w:p w:rsidR="00000000" w:rsidDel="00000000" w:rsidP="00000000" w:rsidRDefault="00000000" w:rsidRPr="00000000" w14:paraId="0000000D">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功能：</w:t>
      </w:r>
      <w:r w:rsidDel="00000000" w:rsidR="00000000" w:rsidRPr="00000000">
        <w:rPr>
          <w:rFonts w:ascii="Arial Unicode MS" w:cs="Arial Unicode MS" w:eastAsia="Arial Unicode MS" w:hAnsi="Arial Unicode MS"/>
          <w:rtl w:val="0"/>
        </w:rPr>
        <w:t xml:space="preserve">  防止過充與過放，確保穩定使用。</w:t>
      </w:r>
    </w:p>
    <w:p w:rsidR="00000000" w:rsidDel="00000000" w:rsidP="00000000" w:rsidRDefault="00000000" w:rsidRPr="00000000" w14:paraId="0000000E">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現有方法限制：</w:t>
      </w:r>
    </w:p>
    <w:p w:rsidR="00000000" w:rsidDel="00000000" w:rsidP="00000000" w:rsidRDefault="00000000" w:rsidRPr="00000000" w14:paraId="0000000F">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電流積分法：</w:t>
      </w:r>
      <w:r w:rsidDel="00000000" w:rsidR="00000000" w:rsidRPr="00000000">
        <w:rPr>
          <w:rFonts w:ascii="Arial Unicode MS" w:cs="Arial Unicode MS" w:eastAsia="Arial Unicode MS" w:hAnsi="Arial Unicode MS"/>
          <w:rtl w:val="0"/>
        </w:rPr>
        <w:t xml:space="preserve">  依賴精確的初始 SOC 值，且易受感測器累積誤差與環境影響。</w:t>
      </w:r>
    </w:p>
    <w:p w:rsidR="00000000" w:rsidDel="00000000" w:rsidP="00000000" w:rsidRDefault="00000000" w:rsidRPr="00000000" w14:paraId="00000010">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開路電壓 (OCV) 法：</w:t>
      </w:r>
      <w:r w:rsidDel="00000000" w:rsidR="00000000" w:rsidRPr="00000000">
        <w:rPr>
          <w:rFonts w:ascii="Arial Unicode MS" w:cs="Arial Unicode MS" w:eastAsia="Arial Unicode MS" w:hAnsi="Arial Unicode MS"/>
          <w:rtl w:val="0"/>
        </w:rPr>
        <w:t xml:space="preserve">  需靜置 2 小時以上才能測量，無法實現即時監控。</w:t>
      </w:r>
    </w:p>
    <w:p w:rsidR="00000000" w:rsidDel="00000000" w:rsidP="00000000" w:rsidRDefault="00000000" w:rsidRPr="00000000" w14:paraId="00000011">
      <w:pPr>
        <w:pStyle w:val="Heading5"/>
        <w:rPr/>
      </w:pPr>
      <w:bookmarkStart w:colFirst="0" w:colLast="0" w:name="_4tdzgyh348mc" w:id="5"/>
      <w:bookmarkEnd w:id="5"/>
      <w:r w:rsidDel="00000000" w:rsidR="00000000" w:rsidRPr="00000000">
        <w:rPr>
          <w:rFonts w:ascii="Arial Unicode MS" w:cs="Arial Unicode MS" w:eastAsia="Arial Unicode MS" w:hAnsi="Arial Unicode MS"/>
          <w:rtl w:val="0"/>
        </w:rPr>
        <w:t xml:space="preserve">2.2 健康狀態 (SOH)</w:t>
      </w:r>
    </w:p>
    <w:p w:rsidR="00000000" w:rsidDel="00000000" w:rsidP="00000000" w:rsidRDefault="00000000" w:rsidRPr="00000000" w14:paraId="00000012">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定義：</w:t>
      </w:r>
      <w:r w:rsidDel="00000000" w:rsidR="00000000" w:rsidRPr="00000000">
        <w:rPr>
          <w:rFonts w:ascii="Arial Unicode MS" w:cs="Arial Unicode MS" w:eastAsia="Arial Unicode MS" w:hAnsi="Arial Unicode MS"/>
          <w:rtl w:val="0"/>
        </w:rPr>
        <w:t xml:space="preserve">  當前電池容量相對於初始容量的比例。</w:t>
      </w:r>
    </w:p>
    <w:p w:rsidR="00000000" w:rsidDel="00000000" w:rsidP="00000000" w:rsidRDefault="00000000" w:rsidRPr="00000000" w14:paraId="00000013">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計算公式：</w:t>
      </w:r>
      <w:r w:rsidDel="00000000" w:rsidR="00000000" w:rsidRPr="00000000">
        <w:rPr>
          <w:rFonts w:ascii="Arial Unicode MS" w:cs="Arial Unicode MS" w:eastAsia="Arial Unicode MS" w:hAnsi="Arial Unicode MS"/>
          <w:rtl w:val="0"/>
        </w:rPr>
        <w:t xml:space="preserve">   $SOH = \frac{\text{當前容量}}{\text{初始容量}} \times 100\%$</w:t>
      </w:r>
    </w:p>
    <w:p w:rsidR="00000000" w:rsidDel="00000000" w:rsidP="00000000" w:rsidRDefault="00000000" w:rsidRPr="00000000" w14:paraId="00000014">
      <w:pPr>
        <w:numPr>
          <w:ilvl w:val="0"/>
          <w:numId w:val="3"/>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分類標準：</w:t>
      </w:r>
    </w:p>
    <w:p w:rsidR="00000000" w:rsidDel="00000000" w:rsidP="00000000" w:rsidRDefault="00000000" w:rsidRPr="00000000" w14:paraId="00000015">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正常 (Normal)：</w:t>
      </w:r>
      <w:r w:rsidDel="00000000" w:rsidR="00000000" w:rsidRPr="00000000">
        <w:rPr>
          <w:rtl w:val="0"/>
        </w:rPr>
        <w:t xml:space="preserve">  SOH 100% – 90%</w:t>
      </w:r>
    </w:p>
    <w:p w:rsidR="00000000" w:rsidDel="00000000" w:rsidP="00000000" w:rsidRDefault="00000000" w:rsidRPr="00000000" w14:paraId="00000016">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警告 (Caution)：</w:t>
      </w:r>
      <w:r w:rsidDel="00000000" w:rsidR="00000000" w:rsidRPr="00000000">
        <w:rPr>
          <w:rtl w:val="0"/>
        </w:rPr>
        <w:t xml:space="preserve">  SOH 90% – 80%</w:t>
      </w:r>
    </w:p>
    <w:p w:rsidR="00000000" w:rsidDel="00000000" w:rsidP="00000000" w:rsidRDefault="00000000" w:rsidRPr="00000000" w14:paraId="00000017">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故障 (Fault)：</w:t>
      </w:r>
      <w:r w:rsidDel="00000000" w:rsidR="00000000" w:rsidRPr="00000000">
        <w:rPr>
          <w:rFonts w:ascii="Arial Unicode MS" w:cs="Arial Unicode MS" w:eastAsia="Arial Unicode MS" w:hAnsi="Arial Unicode MS"/>
          <w:rtl w:val="0"/>
        </w:rPr>
        <w:t xml:space="preserve">  SOH 低於 80%（業界普遍定義低於 80% 為失效）。</w:t>
      </w:r>
    </w:p>
    <w:p w:rsidR="00000000" w:rsidDel="00000000" w:rsidP="00000000" w:rsidRDefault="00000000" w:rsidRPr="00000000" w14:paraId="00000018">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現有方法限制：</w:t>
      </w:r>
      <w:r w:rsidDel="00000000" w:rsidR="00000000" w:rsidRPr="00000000">
        <w:rPr>
          <w:rFonts w:ascii="Arial Unicode MS" w:cs="Arial Unicode MS" w:eastAsia="Arial Unicode MS" w:hAnsi="Arial Unicode MS"/>
          <w:rtl w:val="0"/>
        </w:rPr>
        <w:t xml:space="preserve">  如卡爾曼濾波法，因參數複雜且演算法難度高，實際應用挑戰較大。</w:t>
      </w:r>
    </w:p>
    <w:p w:rsidR="00000000" w:rsidDel="00000000" w:rsidP="00000000" w:rsidRDefault="00000000" w:rsidRPr="00000000" w14:paraId="00000019">
      <w:pPr>
        <w:pStyle w:val="Heading4"/>
        <w:rPr/>
      </w:pPr>
      <w:bookmarkStart w:colFirst="0" w:colLast="0" w:name="_oxhq1ebz0xfn" w:id="6"/>
      <w:bookmarkEnd w:id="6"/>
      <w:r w:rsidDel="00000000" w:rsidR="00000000" w:rsidRPr="00000000">
        <w:rPr>
          <w:rFonts w:ascii="Arial Unicode MS" w:cs="Arial Unicode MS" w:eastAsia="Arial Unicode MS" w:hAnsi="Arial Unicode MS"/>
          <w:rtl w:val="0"/>
        </w:rPr>
        <w:t xml:space="preserve">3. 提議之多層神經網路 (MNN) 方法論</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本研究提出使用多層神經網路來處理模式識別與分類問題，利用其非線性轉換能力實現高層次的抽象建模。</w:t>
      </w:r>
    </w:p>
    <w:p w:rsidR="00000000" w:rsidDel="00000000" w:rsidP="00000000" w:rsidRDefault="00000000" w:rsidRPr="00000000" w14:paraId="0000001B">
      <w:pPr>
        <w:pStyle w:val="Heading5"/>
        <w:rPr/>
      </w:pPr>
      <w:bookmarkStart w:colFirst="0" w:colLast="0" w:name="_xz4lhtz1duc" w:id="7"/>
      <w:bookmarkEnd w:id="7"/>
      <w:r w:rsidDel="00000000" w:rsidR="00000000" w:rsidRPr="00000000">
        <w:rPr>
          <w:rFonts w:ascii="Arial Unicode MS" w:cs="Arial Unicode MS" w:eastAsia="Arial Unicode MS" w:hAnsi="Arial Unicode MS"/>
          <w:rtl w:val="0"/>
        </w:rPr>
        <w:t xml:space="preserve">3.1 網路結構與訓練設置</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該方法共使用四個 MNN 模型：一個用於 SOH 診斷，三個用於 SOC 估計。| 模型類型 | 結構 (輸入-隱藏層-輸出) | 說明 || ------ | ------ | ------ || </w:t>
      </w:r>
      <w:r w:rsidDel="00000000" w:rsidR="00000000" w:rsidRPr="00000000">
        <w:rPr>
          <w:rFonts w:ascii="Arial Unicode MS" w:cs="Arial Unicode MS" w:eastAsia="Arial Unicode MS" w:hAnsi="Arial Unicode MS"/>
          <w:b w:val="1"/>
          <w:bCs w:val="1"/>
          <w:rtl w:val="0"/>
        </w:rPr>
        <w:t xml:space="preserve">SOH 診斷模型</w:t>
      </w:r>
      <w:r w:rsidDel="00000000" w:rsidR="00000000" w:rsidRPr="00000000">
        <w:rPr>
          <w:rFonts w:ascii="Arial Unicode MS" w:cs="Arial Unicode MS" w:eastAsia="Arial Unicode MS" w:hAnsi="Arial Unicode MS"/>
          <w:rtl w:val="0"/>
        </w:rPr>
        <w:t xml:space="preserve"> | 3600-256-256-3 | 輸入為一個週期的放電電壓數據 (3600 點) || </w:t>
      </w:r>
      <w:r w:rsidDel="00000000" w:rsidR="00000000" w:rsidRPr="00000000">
        <w:rPr>
          <w:rFonts w:ascii="Arial Unicode MS" w:cs="Arial Unicode MS" w:eastAsia="Arial Unicode MS" w:hAnsi="Arial Unicode MS"/>
          <w:b w:val="1"/>
          <w:bCs w:val="1"/>
          <w:rtl w:val="0"/>
        </w:rPr>
        <w:t xml:space="preserve">SOC 估計模型</w:t>
      </w:r>
      <w:r w:rsidDel="00000000" w:rsidR="00000000" w:rsidRPr="00000000">
        <w:rPr>
          <w:rFonts w:ascii="Arial Unicode MS" w:cs="Arial Unicode MS" w:eastAsia="Arial Unicode MS" w:hAnsi="Arial Unicode MS"/>
          <w:rtl w:val="0"/>
        </w:rPr>
        <w:t xml:space="preserve"> | 6-150-150-101 | 共有正常、警告、故障三個專屬模型 |</w:t>
      </w:r>
    </w:p>
    <w:p w:rsidR="00000000" w:rsidDel="00000000" w:rsidP="00000000" w:rsidRDefault="00000000" w:rsidRPr="00000000" w14:paraId="0000001D">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優化器：</w:t>
      </w:r>
      <w:r w:rsidDel="00000000" w:rsidR="00000000" w:rsidRPr="00000000">
        <w:rPr>
          <w:rFonts w:ascii="Arial Unicode MS" w:cs="Arial Unicode MS" w:eastAsia="Arial Unicode MS" w:hAnsi="Arial Unicode MS"/>
          <w:rtl w:val="0"/>
        </w:rPr>
        <w:t xml:space="preserve">  RMSprop（衰減率  $\gamma = 0.9$ ，學習率  $\alpha = 0.001$ ）。</w:t>
      </w:r>
    </w:p>
    <w:p w:rsidR="00000000" w:rsidDel="00000000" w:rsidP="00000000" w:rsidRDefault="00000000" w:rsidRPr="00000000" w14:paraId="0000001E">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激活函數：</w:t>
      </w:r>
      <w:r w:rsidDel="00000000" w:rsidR="00000000" w:rsidRPr="00000000">
        <w:rPr>
          <w:rFonts w:ascii="Arial Unicode MS" w:cs="Arial Unicode MS" w:eastAsia="Arial Unicode MS" w:hAnsi="Arial Unicode MS"/>
          <w:rtl w:val="0"/>
        </w:rPr>
        <w:t xml:space="preserve">  隱藏層使用  </w:t>
      </w:r>
      <w:r w:rsidDel="00000000" w:rsidR="00000000" w:rsidRPr="00000000">
        <w:rPr>
          <w:b w:val="1"/>
          <w:bCs w:val="1"/>
          <w:rtl w:val="0"/>
        </w:rPr>
        <w:t xml:space="preserve">ReLU</w:t>
      </w:r>
      <w:r w:rsidDel="00000000" w:rsidR="00000000" w:rsidRPr="00000000">
        <w:rPr>
          <w:rFonts w:ascii="Arial Unicode MS" w:cs="Arial Unicode MS" w:eastAsia="Arial Unicode MS" w:hAnsi="Arial Unicode MS"/>
          <w:rtl w:val="0"/>
        </w:rPr>
        <w:t xml:space="preserve"> ；輸出層使用  </w:t>
      </w:r>
      <w:r w:rsidDel="00000000" w:rsidR="00000000" w:rsidRPr="00000000">
        <w:rPr>
          <w:b w:val="1"/>
          <w:bCs w:val="1"/>
          <w:rtl w:val="0"/>
        </w:rPr>
        <w:t xml:space="preserve">Softmax</w:t>
      </w:r>
      <w:r w:rsidDel="00000000" w:rsidR="00000000" w:rsidRPr="00000000">
        <w:rPr>
          <w:rFonts w:ascii="Arial Unicode MS" w:cs="Arial Unicode MS" w:eastAsia="Arial Unicode MS" w:hAnsi="Arial Unicode MS"/>
          <w:rtl w:val="0"/>
        </w:rPr>
        <w:t xml:space="preserve"> （將結果轉化為狀態機率）。</w:t>
      </w:r>
    </w:p>
    <w:p w:rsidR="00000000" w:rsidDel="00000000" w:rsidP="00000000" w:rsidRDefault="00000000" w:rsidRPr="00000000" w14:paraId="0000001F">
      <w:pPr>
        <w:pStyle w:val="Heading5"/>
        <w:rPr/>
      </w:pPr>
      <w:bookmarkStart w:colFirst="0" w:colLast="0" w:name="_hpr82nuxhemt" w:id="8"/>
      <w:bookmarkEnd w:id="8"/>
      <w:r w:rsidDel="00000000" w:rsidR="00000000" w:rsidRPr="00000000">
        <w:rPr>
          <w:rFonts w:ascii="Arial Unicode MS" w:cs="Arial Unicode MS" w:eastAsia="Arial Unicode MS" w:hAnsi="Arial Unicode MS"/>
          <w:rtl w:val="0"/>
        </w:rPr>
        <w:t xml:space="preserve">3.2 運作流程</w:t>
      </w:r>
    </w:p>
    <w:p w:rsidR="00000000" w:rsidDel="00000000" w:rsidP="00000000" w:rsidRDefault="00000000" w:rsidRPr="00000000" w14:paraId="00000020">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數據獲取：</w:t>
      </w:r>
      <w:r w:rsidDel="00000000" w:rsidR="00000000" w:rsidRPr="00000000">
        <w:rPr>
          <w:rFonts w:ascii="Arial Unicode MS" w:cs="Arial Unicode MS" w:eastAsia="Arial Unicode MS" w:hAnsi="Arial Unicode MS"/>
          <w:rtl w:val="0"/>
        </w:rPr>
        <w:t xml:space="preserve">  從實驗裝置獲取電池電壓與電流數據。</w:t>
      </w:r>
    </w:p>
    <w:p w:rsidR="00000000" w:rsidDel="00000000" w:rsidP="00000000" w:rsidRDefault="00000000" w:rsidRPr="00000000" w14:paraId="00000021">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數據管理：</w:t>
      </w:r>
      <w:r w:rsidDel="00000000" w:rsidR="00000000" w:rsidRPr="00000000">
        <w:rPr>
          <w:rFonts w:ascii="Arial Unicode MS" w:cs="Arial Unicode MS" w:eastAsia="Arial Unicode MS" w:hAnsi="Arial Unicode MS"/>
          <w:rtl w:val="0"/>
        </w:rPr>
        <w:t xml:space="preserve">  生成一個週期的放電電壓數據（供 SOH 使用）與 6 個輸入點的電壓數據（供 SOC 使用）。</w:t>
      </w:r>
    </w:p>
    <w:p w:rsidR="00000000" w:rsidDel="00000000" w:rsidP="00000000" w:rsidRDefault="00000000" w:rsidRPr="00000000" w14:paraId="00000022">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SOH 診斷：</w:t>
      </w:r>
      <w:r w:rsidDel="00000000" w:rsidR="00000000" w:rsidRPr="00000000">
        <w:rPr>
          <w:rFonts w:ascii="Arial Unicode MS" w:cs="Arial Unicode MS" w:eastAsia="Arial Unicode MS" w:hAnsi="Arial Unicode MS"/>
          <w:rtl w:val="0"/>
        </w:rPr>
        <w:t xml:space="preserve">  SOH 模型判斷電池當前處於「正常」、「警告」或「故障」哪種狀態。</w:t>
      </w:r>
    </w:p>
    <w:p w:rsidR="00000000" w:rsidDel="00000000" w:rsidP="00000000" w:rsidRDefault="00000000" w:rsidRPr="00000000" w14:paraId="00000023">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模型切換：</w:t>
      </w:r>
      <w:r w:rsidDel="00000000" w:rsidR="00000000" w:rsidRPr="00000000">
        <w:rPr>
          <w:rFonts w:ascii="Arial Unicode MS" w:cs="Arial Unicode MS" w:eastAsia="Arial Unicode MS" w:hAnsi="Arial Unicode MS"/>
          <w:rtl w:val="0"/>
        </w:rPr>
        <w:t xml:space="preserve">  根據 SOH 的診斷結果，觸發對應的 SOC 估計模型。</w:t>
      </w:r>
    </w:p>
    <w:p w:rsidR="00000000" w:rsidDel="00000000" w:rsidP="00000000" w:rsidRDefault="00000000" w:rsidRPr="00000000" w14:paraId="00000024">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結果輸出：</w:t>
      </w:r>
      <w:r w:rsidDel="00000000" w:rsidR="00000000" w:rsidRPr="00000000">
        <w:rPr>
          <w:rFonts w:ascii="Arial Unicode MS" w:cs="Arial Unicode MS" w:eastAsia="Arial Unicode MS" w:hAnsi="Arial Unicode MS"/>
          <w:rtl w:val="0"/>
        </w:rPr>
        <w:t xml:space="preserve">  輸出最終選定的 SOC 估計值。</w:t>
      </w:r>
    </w:p>
    <w:p w:rsidR="00000000" w:rsidDel="00000000" w:rsidP="00000000" w:rsidRDefault="00000000" w:rsidRPr="00000000" w14:paraId="00000025">
      <w:pPr>
        <w:pStyle w:val="Heading4"/>
        <w:rPr/>
      </w:pPr>
      <w:bookmarkStart w:colFirst="0" w:colLast="0" w:name="_32c7w27fsqf9" w:id="9"/>
      <w:bookmarkEnd w:id="9"/>
      <w:r w:rsidDel="00000000" w:rsidR="00000000" w:rsidRPr="00000000">
        <w:rPr>
          <w:rFonts w:ascii="Arial Unicode MS" w:cs="Arial Unicode MS" w:eastAsia="Arial Unicode MS" w:hAnsi="Arial Unicode MS"/>
          <w:rtl w:val="0"/>
        </w:rPr>
        <w:t xml:space="preserve">4. 實驗設計與結果分析</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研究人員在 40°C 的高溫環境下對電池進行充放電測試，並將數據分為七種模式（Pattern 1-7）進行訓練與測試。</w:t>
      </w:r>
    </w:p>
    <w:p w:rsidR="00000000" w:rsidDel="00000000" w:rsidP="00000000" w:rsidRDefault="00000000" w:rsidRPr="00000000" w14:paraId="00000027">
      <w:pPr>
        <w:pStyle w:val="Heading5"/>
        <w:rPr/>
      </w:pPr>
      <w:bookmarkStart w:colFirst="0" w:colLast="0" w:name="_h9b5955pgcqo" w:id="10"/>
      <w:bookmarkEnd w:id="10"/>
      <w:r w:rsidDel="00000000" w:rsidR="00000000" w:rsidRPr="00000000">
        <w:rPr>
          <w:rFonts w:ascii="Arial Unicode MS" w:cs="Arial Unicode MS" w:eastAsia="Arial Unicode MS" w:hAnsi="Arial Unicode MS"/>
          <w:rtl w:val="0"/>
        </w:rPr>
        <w:t xml:space="preserve">4.1 數據模式分類</w:t>
      </w:r>
    </w:p>
    <w:p w:rsidR="00000000" w:rsidDel="00000000" w:rsidP="00000000" w:rsidRDefault="00000000" w:rsidRPr="00000000" w14:paraId="00000028">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正常狀態：</w:t>
      </w:r>
      <w:r w:rsidDel="00000000" w:rsidR="00000000" w:rsidRPr="00000000">
        <w:rPr>
          <w:rFonts w:ascii="Arial Unicode MS" w:cs="Arial Unicode MS" w:eastAsia="Arial Unicode MS" w:hAnsi="Arial Unicode MS"/>
          <w:rtl w:val="0"/>
        </w:rPr>
        <w:t xml:space="preserve">  模式 1 (100% 額定容量)。</w:t>
      </w:r>
    </w:p>
    <w:p w:rsidR="00000000" w:rsidDel="00000000" w:rsidP="00000000" w:rsidRDefault="00000000" w:rsidRPr="00000000" w14:paraId="00000029">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警告狀態：</w:t>
      </w:r>
      <w:r w:rsidDel="00000000" w:rsidR="00000000" w:rsidRPr="00000000">
        <w:rPr>
          <w:rFonts w:ascii="Arial Unicode MS" w:cs="Arial Unicode MS" w:eastAsia="Arial Unicode MS" w:hAnsi="Arial Unicode MS"/>
          <w:rtl w:val="0"/>
        </w:rPr>
        <w:t xml:space="preserve">  模式 2-4 (90%–80% 額定容量)。</w:t>
      </w:r>
    </w:p>
    <w:p w:rsidR="00000000" w:rsidDel="00000000" w:rsidP="00000000" w:rsidRDefault="00000000" w:rsidRPr="00000000" w14:paraId="0000002A">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故障狀態：</w:t>
      </w:r>
      <w:r w:rsidDel="00000000" w:rsidR="00000000" w:rsidRPr="00000000">
        <w:rPr>
          <w:rFonts w:ascii="Arial Unicode MS" w:cs="Arial Unicode MS" w:eastAsia="Arial Unicode MS" w:hAnsi="Arial Unicode MS"/>
          <w:rtl w:val="0"/>
        </w:rPr>
        <w:t xml:space="preserve">  模式 5-7 (低於 80% 額定容量)。</w:t>
      </w:r>
    </w:p>
    <w:p w:rsidR="00000000" w:rsidDel="00000000" w:rsidP="00000000" w:rsidRDefault="00000000" w:rsidRPr="00000000" w14:paraId="0000002B">
      <w:pPr>
        <w:pStyle w:val="Heading5"/>
        <w:rPr/>
      </w:pPr>
      <w:bookmarkStart w:colFirst="0" w:colLast="0" w:name="_syja87y5rs33" w:id="11"/>
      <w:bookmarkEnd w:id="11"/>
      <w:r w:rsidDel="00000000" w:rsidR="00000000" w:rsidRPr="00000000">
        <w:rPr>
          <w:rFonts w:ascii="Arial Unicode MS" w:cs="Arial Unicode MS" w:eastAsia="Arial Unicode MS" w:hAnsi="Arial Unicode MS"/>
          <w:rtl w:val="0"/>
        </w:rPr>
        <w:t xml:space="preserve">4.2 SOC 估計準確度比較 (平均絕對誤差, MAE)</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下表顯示了專屬模型與包含所有數據的「總體模型」之性能對比：| 測試模式 | 正常模型 | 警告模型 | 故障模型 | 總體模型 | </w:t>
      </w:r>
      <w:r w:rsidDel="00000000" w:rsidR="00000000" w:rsidRPr="00000000">
        <w:rPr>
          <w:rFonts w:ascii="Arial Unicode MS" w:cs="Arial Unicode MS" w:eastAsia="Arial Unicode MS" w:hAnsi="Arial Unicode MS"/>
          <w:b w:val="1"/>
          <w:bCs w:val="1"/>
          <w:rtl w:val="0"/>
        </w:rPr>
        <w:t xml:space="preserve">最佳表現 (誤差)</w:t>
      </w:r>
      <w:r w:rsidDel="00000000" w:rsidR="00000000" w:rsidRPr="00000000">
        <w:rPr>
          <w:rtl w:val="0"/>
        </w:rPr>
        <w:t xml:space="preserve"> || ------ | ------ | ------ | ------ | ------ | ------ || </w:t>
      </w:r>
      <w:r w:rsidDel="00000000" w:rsidR="00000000" w:rsidRPr="00000000">
        <w:rPr>
          <w:rFonts w:ascii="Arial Unicode MS" w:cs="Arial Unicode MS" w:eastAsia="Arial Unicode MS" w:hAnsi="Arial Unicode MS"/>
          <w:b w:val="1"/>
          <w:bCs w:val="1"/>
          <w:rtl w:val="0"/>
        </w:rPr>
        <w:t xml:space="preserve">模式 1 (正常)</w:t>
      </w:r>
      <w:r w:rsidDel="00000000" w:rsidR="00000000" w:rsidRPr="00000000">
        <w:rPr>
          <w:rtl w:val="0"/>
        </w:rPr>
        <w:t xml:space="preserve"> | </w:t>
      </w:r>
      <w:r w:rsidDel="00000000" w:rsidR="00000000" w:rsidRPr="00000000">
        <w:rPr>
          <w:b w:val="1"/>
          <w:bCs w:val="1"/>
          <w:rtl w:val="0"/>
        </w:rPr>
        <w:t xml:space="preserve">0.01%</w:t>
      </w:r>
      <w:r w:rsidDel="00000000" w:rsidR="00000000" w:rsidRPr="00000000">
        <w:rPr>
          <w:rtl w:val="0"/>
        </w:rPr>
        <w:t xml:space="preserve"> | 13.3% | 8.82% | 7.12% | </w:t>
      </w:r>
      <w:r w:rsidDel="00000000" w:rsidR="00000000" w:rsidRPr="00000000">
        <w:rPr>
          <w:b w:val="1"/>
          <w:bCs w:val="1"/>
          <w:rtl w:val="0"/>
        </w:rPr>
        <w:t xml:space="preserve">0.01%</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模式 2 (警告)</w:t>
      </w:r>
      <w:r w:rsidDel="00000000" w:rsidR="00000000" w:rsidRPr="00000000">
        <w:rPr>
          <w:rtl w:val="0"/>
        </w:rPr>
        <w:t xml:space="preserve"> | 9.07% | </w:t>
      </w:r>
      <w:r w:rsidDel="00000000" w:rsidR="00000000" w:rsidRPr="00000000">
        <w:rPr>
          <w:b w:val="1"/>
          <w:bCs w:val="1"/>
          <w:rtl w:val="0"/>
        </w:rPr>
        <w:t xml:space="preserve">2.03%</w:t>
      </w:r>
      <w:r w:rsidDel="00000000" w:rsidR="00000000" w:rsidRPr="00000000">
        <w:rPr>
          <w:rtl w:val="0"/>
        </w:rPr>
        <w:t xml:space="preserve"> | 2.17% | 2.51% | </w:t>
      </w:r>
      <w:r w:rsidDel="00000000" w:rsidR="00000000" w:rsidRPr="00000000">
        <w:rPr>
          <w:b w:val="1"/>
          <w:bCs w:val="1"/>
          <w:rtl w:val="0"/>
        </w:rPr>
        <w:t xml:space="preserve">2.03%</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模式 6 (故障)</w:t>
      </w:r>
      <w:r w:rsidDel="00000000" w:rsidR="00000000" w:rsidRPr="00000000">
        <w:rPr>
          <w:rtl w:val="0"/>
        </w:rPr>
        <w:t xml:space="preserve"> | 10.11% | 6.01% | </w:t>
      </w:r>
      <w:r w:rsidDel="00000000" w:rsidR="00000000" w:rsidRPr="00000000">
        <w:rPr>
          <w:b w:val="1"/>
          <w:bCs w:val="1"/>
          <w:rtl w:val="0"/>
        </w:rPr>
        <w:t xml:space="preserve">0.1%</w:t>
      </w:r>
      <w:r w:rsidDel="00000000" w:rsidR="00000000" w:rsidRPr="00000000">
        <w:rPr>
          <w:rtl w:val="0"/>
        </w:rPr>
        <w:t xml:space="preserve"> | 2.29% | </w:t>
      </w:r>
      <w:r w:rsidDel="00000000" w:rsidR="00000000" w:rsidRPr="00000000">
        <w:rPr>
          <w:b w:val="1"/>
          <w:bCs w:val="1"/>
          <w:rtl w:val="0"/>
        </w:rPr>
        <w:t xml:space="preserve">0.1%</w:t>
      </w:r>
      <w:r w:rsidDel="00000000" w:rsidR="00000000" w:rsidRPr="00000000">
        <w:rPr>
          <w:rtl w:val="0"/>
        </w:rPr>
        <w:t xml:space="preserve"> |</w:t>
      </w:r>
    </w:p>
    <w:p w:rsidR="00000000" w:rsidDel="00000000" w:rsidP="00000000" w:rsidRDefault="00000000" w:rsidRPr="00000000" w14:paraId="0000002D">
      <w:pPr>
        <w:rPr>
          <w:b w:val="1"/>
          <w:bCs w:val="1"/>
        </w:rPr>
      </w:pPr>
      <w:r w:rsidDel="00000000" w:rsidR="00000000" w:rsidRPr="00000000">
        <w:rPr>
          <w:rFonts w:ascii="Arial Unicode MS" w:cs="Arial Unicode MS" w:eastAsia="Arial Unicode MS" w:hAnsi="Arial Unicode MS"/>
          <w:b w:val="1"/>
          <w:bCs w:val="1"/>
          <w:rtl w:val="0"/>
        </w:rPr>
        <w:t xml:space="preserve">關鍵結論：</w:t>
      </w:r>
    </w:p>
    <w:p w:rsidR="00000000" w:rsidDel="00000000" w:rsidP="00000000" w:rsidRDefault="00000000" w:rsidRPr="00000000" w14:paraId="0000002E">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提議的方法在各個階段的誤差均顯著低於總體模型（分別降低了 7.11%、0.48% 與 2.19% 的誤差）。</w:t>
      </w:r>
    </w:p>
    <w:p w:rsidR="00000000" w:rsidDel="00000000" w:rsidP="00000000" w:rsidRDefault="00000000" w:rsidRPr="00000000" w14:paraId="0000002F">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SOH 診斷模型能 100% 精準地將測試模式分類至正確的狀態類別。</w:t>
      </w:r>
    </w:p>
    <w:p w:rsidR="00000000" w:rsidDel="00000000" w:rsidP="00000000" w:rsidRDefault="00000000" w:rsidRPr="00000000" w14:paraId="00000030">
      <w:pPr>
        <w:pStyle w:val="Heading4"/>
        <w:rPr/>
      </w:pPr>
      <w:bookmarkStart w:colFirst="0" w:colLast="0" w:name="_cqr91hg4ilu8" w:id="12"/>
      <w:bookmarkEnd w:id="12"/>
      <w:r w:rsidDel="00000000" w:rsidR="00000000" w:rsidRPr="00000000">
        <w:rPr>
          <w:rFonts w:ascii="Arial Unicode MS" w:cs="Arial Unicode MS" w:eastAsia="Arial Unicode MS" w:hAnsi="Arial Unicode MS"/>
          <w:rtl w:val="0"/>
        </w:rPr>
        <w:t xml:space="preserve">5. 總結</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本研究成功驗證了基於多層神經網路的電池診斷方法。透過 SOH 診斷引導 SOC 估計的「分段建模」策略，能有效應對電池在不同退化階段表現出的特徵差異。</w:t>
      </w:r>
    </w:p>
    <w:p w:rsidR="00000000" w:rsidDel="00000000" w:rsidP="00000000" w:rsidRDefault="00000000" w:rsidRPr="00000000" w14:paraId="00000032">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研究成果：</w:t>
      </w:r>
      <w:r w:rsidDel="00000000" w:rsidR="00000000" w:rsidRPr="00000000">
        <w:rPr>
          <w:rFonts w:ascii="Arial Unicode MS" w:cs="Arial Unicode MS" w:eastAsia="Arial Unicode MS" w:hAnsi="Arial Unicode MS"/>
          <w:rtl w:val="0"/>
        </w:rPr>
        <w:t xml:space="preserve">  SOH 診斷精準，且 SOC 估計性能優於傳統全數據學習模型。</w:t>
      </w:r>
    </w:p>
    <w:p w:rsidR="00000000" w:rsidDel="00000000" w:rsidP="00000000" w:rsidRDefault="00000000" w:rsidRPr="00000000" w14:paraId="00000033">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未來工作：</w:t>
      </w:r>
      <w:r w:rsidDel="00000000" w:rsidR="00000000" w:rsidRPr="00000000">
        <w:rPr>
          <w:rFonts w:ascii="Arial Unicode MS" w:cs="Arial Unicode MS" w:eastAsia="Arial Unicode MS" w:hAnsi="Arial Unicode MS"/>
          <w:rtl w:val="0"/>
        </w:rPr>
        <w:t xml:space="preserve">  計畫將此系統應用於實際環境，進一步驗證其在複雜運行條件下的效能與穩定性。</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