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5ziaxvkvqt3" w:id="0"/>
      <w:bookmarkEnd w:id="0"/>
      <w:r w:rsidDel="00000000" w:rsidR="00000000" w:rsidRPr="00000000">
        <w:rPr>
          <w:rtl w:val="0"/>
        </w:rPr>
        <w:t xml:space="preserve">Battery State-of-Charge and State-of-Health Estimation Methodologies</w:t>
      </w:r>
    </w:p>
    <w:p w:rsidR="00000000" w:rsidDel="00000000" w:rsidP="00000000" w:rsidRDefault="00000000" w:rsidRPr="00000000" w14:paraId="00000002">
      <w:pPr>
        <w:pStyle w:val="Heading4"/>
        <w:rPr/>
      </w:pPr>
      <w:bookmarkStart w:colFirst="0" w:colLast="0" w:name="_a9y4r2n0och9"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efficient management of energy storage systems is critical for the advancement of renewable energy integration and electric vehicle (EV) technology. This briefing document synthesizes research on the design and implementation of State-of-Charge (SoC) and State-of-Health (SoH) estimators for lead-acid and lithium-ion batteries.The primary findings indicate that while traditional methods like Coulomb Counting and Ohm’s Law applications remain effective for lead-acid batteries, the complex, non-linear characteristics of lithium-ion batteries require more sophisticated approaches, including dynamic impedance modeling and Multilayer Neural Networks (MNN). Key advancements include: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Real-time Estimation:</w:t>
      </w:r>
      <w:r w:rsidDel="00000000" w:rsidR="00000000" w:rsidRPr="00000000">
        <w:rPr>
          <w:rtl w:val="0"/>
        </w:rPr>
        <w:t xml:space="preserve">  New methods for lithium-ion batteries eliminate the need for initial values or historical data, allowing for immediate real-time monitoring.</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Predictive Diagnostics:</w:t>
      </w:r>
      <w:r w:rsidDel="00000000" w:rsidR="00000000" w:rsidRPr="00000000">
        <w:rPr>
          <w:rtl w:val="0"/>
        </w:rPr>
        <w:t xml:space="preserve">  SoH is increasingly determined by evaluating internal resistance changes or utilizing projection techniques to analyze the slope of impedance curves.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MNN Integration:</w:t>
      </w:r>
      <w:r w:rsidDel="00000000" w:rsidR="00000000" w:rsidRPr="00000000">
        <w:rPr>
          <w:rtl w:val="0"/>
        </w:rPr>
        <w:t xml:space="preserve">  The use of deep learning models significantly improves accuracy by categorizing batteries into "Normal," "Caution," and "Fault" states, applying specialized SOC estimation models to each.</w:t>
      </w:r>
    </w:p>
    <w:p w:rsidR="00000000" w:rsidDel="00000000" w:rsidP="00000000" w:rsidRDefault="00000000" w:rsidRPr="00000000" w14:paraId="00000007">
      <w:pPr>
        <w:pStyle w:val="Heading4"/>
        <w:rPr/>
      </w:pPr>
      <w:bookmarkStart w:colFirst="0" w:colLast="0" w:name="_4u0orj96qk3w" w:id="2"/>
      <w:bookmarkEnd w:id="2"/>
      <w:r w:rsidDel="00000000" w:rsidR="00000000" w:rsidRPr="00000000">
        <w:rPr>
          <w:rtl w:val="0"/>
        </w:rPr>
        <w:t xml:space="preserve">1. Battery Technology Comparison</w:t>
      </w:r>
    </w:p>
    <w:p w:rsidR="00000000" w:rsidDel="00000000" w:rsidP="00000000" w:rsidRDefault="00000000" w:rsidRPr="00000000" w14:paraId="00000008">
      <w:pPr>
        <w:rPr/>
      </w:pPr>
      <w:r w:rsidDel="00000000" w:rsidR="00000000" w:rsidRPr="00000000">
        <w:rPr>
          <w:rtl w:val="0"/>
        </w:rPr>
        <w:t xml:space="preserve">The choice of battery technology depends on specific application requirements such as cost, cycle life, and power density. The following table summarizes the characteristics of various battery types discussed in the sources:| Battery Type | Key Advantages | Disadvantages | Common Applications || ------ | ------ | ------ | ------ || </w:t>
      </w:r>
      <w:r w:rsidDel="00000000" w:rsidR="00000000" w:rsidRPr="00000000">
        <w:rPr>
          <w:b w:val="1"/>
          <w:bCs w:val="1"/>
          <w:rtl w:val="0"/>
        </w:rPr>
        <w:t xml:space="preserve">Lead-Acid (Pb)</w:t>
      </w:r>
      <w:r w:rsidDel="00000000" w:rsidR="00000000" w:rsidRPr="00000000">
        <w:rPr>
          <w:rtl w:val="0"/>
        </w:rPr>
        <w:t xml:space="preserve"> | High reliability, low cost, strong surge capability, operates in a wide temperature range. | Low energy density, short life-cycle (400–2000 cycles), efficiency 65–80%. | UPS systems, power quality devices, spinning reserve. || </w:t>
      </w:r>
      <w:r w:rsidDel="00000000" w:rsidR="00000000" w:rsidRPr="00000000">
        <w:rPr>
          <w:b w:val="1"/>
          <w:bCs w:val="1"/>
          <w:rtl w:val="0"/>
        </w:rPr>
        <w:t xml:space="preserve">Lithium-Ion (Li-ion)</w:t>
      </w:r>
      <w:r w:rsidDel="00000000" w:rsidR="00000000" w:rsidRPr="00000000">
        <w:rPr>
          <w:rtl w:val="0"/>
        </w:rPr>
        <w:t xml:space="preserve"> | High energy/power density, ~95% efficiency, long life-cycle (~3000 cycles). | High cost, requires complex safety/protection circuitry. | Portable electronics, electric vehicles. || </w:t>
      </w:r>
      <w:r w:rsidDel="00000000" w:rsidR="00000000" w:rsidRPr="00000000">
        <w:rPr>
          <w:b w:val="1"/>
          <w:bCs w:val="1"/>
          <w:rtl w:val="0"/>
        </w:rPr>
        <w:t xml:space="preserve">Sodium-Sulphur (NaS)</w:t>
      </w:r>
      <w:r w:rsidDel="00000000" w:rsidR="00000000" w:rsidRPr="00000000">
        <w:rPr>
          <w:rtl w:val="0"/>
        </w:rPr>
        <w:t xml:space="preserve"> | 2500 cycles, high power density, 75–90% efficiency, recyclable. | High capital cost, requires internal temperature of ~350°C. | Variable renewable energy sources (wind/solar). || </w:t>
      </w:r>
      <w:r w:rsidDel="00000000" w:rsidR="00000000" w:rsidRPr="00000000">
        <w:rPr>
          <w:b w:val="1"/>
          <w:bCs w:val="1"/>
          <w:rtl w:val="0"/>
        </w:rPr>
        <w:t xml:space="preserve">Nickel-Cadmium (NiCd)</w:t>
      </w:r>
      <w:r w:rsidDel="00000000" w:rsidR="00000000" w:rsidRPr="00000000">
        <w:rPr>
          <w:rtl w:val="0"/>
        </w:rPr>
        <w:t xml:space="preserve"> | Reliable for starting applications and UPS. | Toxic cadmium content, increasing environmental controls. | UPS, generator-starting. |</w:t>
      </w:r>
    </w:p>
    <w:p w:rsidR="00000000" w:rsidDel="00000000" w:rsidP="00000000" w:rsidRDefault="00000000" w:rsidRPr="00000000" w14:paraId="00000009">
      <w:pPr>
        <w:pStyle w:val="Heading4"/>
        <w:rPr/>
      </w:pPr>
      <w:bookmarkStart w:colFirst="0" w:colLast="0" w:name="_j5t4c3uko60v" w:id="3"/>
      <w:bookmarkEnd w:id="3"/>
      <w:r w:rsidDel="00000000" w:rsidR="00000000" w:rsidRPr="00000000">
        <w:rPr>
          <w:rtl w:val="0"/>
        </w:rPr>
        <w:t xml:space="preserve">2. Fundamental Parameters: SoC and SoH</w:t>
      </w:r>
    </w:p>
    <w:p w:rsidR="00000000" w:rsidDel="00000000" w:rsidP="00000000" w:rsidRDefault="00000000" w:rsidRPr="00000000" w14:paraId="0000000A">
      <w:pPr>
        <w:rPr/>
      </w:pPr>
      <w:r w:rsidDel="00000000" w:rsidR="00000000" w:rsidRPr="00000000">
        <w:rPr>
          <w:rtl w:val="0"/>
        </w:rPr>
        <w:t xml:space="preserve">The monitoring of two primary indicators is essential for effective Battery Management Systems (BMS):</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State-of-Charge (SoC):</w:t>
      </w:r>
      <w:r w:rsidDel="00000000" w:rsidR="00000000" w:rsidRPr="00000000">
        <w:rPr>
          <w:rtl w:val="0"/>
        </w:rPr>
        <w:t xml:space="preserve">  A percentage value representing the remaining energy currently stored in the battery relative to its capacity. Accurate SoC estimation prevents overcharging and over-discharging.</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State-of-Health (SoH):</w:t>
      </w:r>
      <w:r w:rsidDel="00000000" w:rsidR="00000000" w:rsidRPr="00000000">
        <w:rPr>
          <w:rtl w:val="0"/>
        </w:rPr>
        <w:t xml:space="preserve">  An indirect measurement of a battery's age and its ability to store and deliver energy compared to a new battery. It serves as an indicator for battery replacement timing to avoid failure or safety risks.</w:t>
      </w:r>
    </w:p>
    <w:p w:rsidR="00000000" w:rsidDel="00000000" w:rsidP="00000000" w:rsidRDefault="00000000" w:rsidRPr="00000000" w14:paraId="0000000D">
      <w:pPr>
        <w:pStyle w:val="Heading4"/>
        <w:rPr/>
      </w:pPr>
      <w:bookmarkStart w:colFirst="0" w:colLast="0" w:name="_9mh9yude4rks" w:id="4"/>
      <w:bookmarkEnd w:id="4"/>
      <w:r w:rsidDel="00000000" w:rsidR="00000000" w:rsidRPr="00000000">
        <w:rPr>
          <w:rtl w:val="0"/>
        </w:rPr>
        <w:t xml:space="preserve">3. State-of-Charge (SoC) Estimation Methodologies</w:t>
      </w:r>
    </w:p>
    <w:p w:rsidR="00000000" w:rsidDel="00000000" w:rsidP="00000000" w:rsidRDefault="00000000" w:rsidRPr="00000000" w14:paraId="0000000E">
      <w:pPr>
        <w:pStyle w:val="Heading5"/>
        <w:rPr/>
      </w:pPr>
      <w:bookmarkStart w:colFirst="0" w:colLast="0" w:name="_31cqxct4rona" w:id="5"/>
      <w:bookmarkEnd w:id="5"/>
      <w:r w:rsidDel="00000000" w:rsidR="00000000" w:rsidRPr="00000000">
        <w:rPr>
          <w:rtl w:val="0"/>
        </w:rPr>
        <w:t xml:space="preserve">3.1 Coulomb Counting</w:t>
      </w:r>
    </w:p>
    <w:p w:rsidR="00000000" w:rsidDel="00000000" w:rsidP="00000000" w:rsidRDefault="00000000" w:rsidRPr="00000000" w14:paraId="0000000F">
      <w:pPr>
        <w:rPr/>
      </w:pPr>
      <w:r w:rsidDel="00000000" w:rsidR="00000000" w:rsidRPr="00000000">
        <w:rPr>
          <w:rtl w:val="0"/>
        </w:rPr>
        <w:t xml:space="preserve">Used predominantly for lead-acid batteries, this method measures the amount of charge entering or leaving the battery by integrating current over time.</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Logic:</w:t>
      </w:r>
      <w:r w:rsidDel="00000000" w:rsidR="00000000" w:rsidRPr="00000000">
        <w:rPr>
          <w:rtl w:val="0"/>
        </w:rPr>
        <w:t xml:space="preserve">  If the current is positive (supplying a load), the integral is subtracted from the discharge capacity ( $C_a$ ). If negative (charging), the integral is added.</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Limitation:</w:t>
      </w:r>
      <w:r w:rsidDel="00000000" w:rsidR="00000000" w:rsidRPr="00000000">
        <w:rPr>
          <w:rtl w:val="0"/>
        </w:rPr>
        <w:t xml:space="preserve">  Accuracy depends on knowing the initial SoC and is susceptible to sensor error accumulation over time.</w:t>
      </w:r>
    </w:p>
    <w:p w:rsidR="00000000" w:rsidDel="00000000" w:rsidP="00000000" w:rsidRDefault="00000000" w:rsidRPr="00000000" w14:paraId="00000012">
      <w:pPr>
        <w:pStyle w:val="Heading5"/>
        <w:rPr/>
      </w:pPr>
      <w:bookmarkStart w:colFirst="0" w:colLast="0" w:name="_lm5cpliq99ce" w:id="6"/>
      <w:bookmarkEnd w:id="6"/>
      <w:r w:rsidDel="00000000" w:rsidR="00000000" w:rsidRPr="00000000">
        <w:rPr>
          <w:rtl w:val="0"/>
        </w:rPr>
        <w:t xml:space="preserve">3.2 Dynamic Impedance Modeling</w:t>
      </w:r>
    </w:p>
    <w:p w:rsidR="00000000" w:rsidDel="00000000" w:rsidP="00000000" w:rsidRDefault="00000000" w:rsidRPr="00000000" w14:paraId="00000013">
      <w:pPr>
        <w:rPr/>
      </w:pPr>
      <w:r w:rsidDel="00000000" w:rsidR="00000000" w:rsidRPr="00000000">
        <w:rPr>
          <w:rtl w:val="0"/>
        </w:rPr>
        <w:t xml:space="preserve">For Li-ion batteries, a newer approach defines "dynamic impedance" as the ratio between variations in voltage ( $\Delta V$ ) and current ( $\Delta I$ ).</w:t>
      </w:r>
    </w:p>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Quadratic Relationship:</w:t>
      </w:r>
      <w:r w:rsidDel="00000000" w:rsidR="00000000" w:rsidRPr="00000000">
        <w:rPr>
          <w:rtl w:val="0"/>
        </w:rPr>
        <w:t xml:space="preserve">  The relationship between SoC and dynamic impedance follows a parabolic curve ( $(\Delta V / \Delta I) = a(SOC)^2 + b(SOC) + c$ ).</w:t>
      </w:r>
    </w:p>
    <w:p w:rsidR="00000000" w:rsidDel="00000000" w:rsidP="00000000" w:rsidRDefault="00000000" w:rsidRPr="00000000" w14:paraId="00000015">
      <w:pPr>
        <w:numPr>
          <w:ilvl w:val="0"/>
          <w:numId w:val="8"/>
        </w:numPr>
        <w:ind w:left="720" w:hanging="360"/>
        <w:rPr>
          <w:u w:val="none"/>
        </w:rPr>
      </w:pPr>
      <w:r w:rsidDel="00000000" w:rsidR="00000000" w:rsidRPr="00000000">
        <w:rPr>
          <w:b w:val="1"/>
          <w:bCs w:val="1"/>
          <w:rtl w:val="0"/>
        </w:rPr>
        <w:t xml:space="preserve">Unique Solution:</w:t>
      </w:r>
      <w:r w:rsidDel="00000000" w:rsidR="00000000" w:rsidRPr="00000000">
        <w:rPr>
          <w:rtl w:val="0"/>
        </w:rPr>
        <w:t xml:space="preserve">  Because a single impedance value can correspond to two different SoC points on a parabola, the rate of change in SoC is used to derive a unique, real-time solution.</w:t>
      </w:r>
    </w:p>
    <w:p w:rsidR="00000000" w:rsidDel="00000000" w:rsidP="00000000" w:rsidRDefault="00000000" w:rsidRPr="00000000" w14:paraId="00000016">
      <w:pPr>
        <w:pStyle w:val="Heading5"/>
        <w:rPr/>
      </w:pPr>
      <w:bookmarkStart w:colFirst="0" w:colLast="0" w:name="_a9ox7f7ghcvr" w:id="7"/>
      <w:bookmarkEnd w:id="7"/>
      <w:r w:rsidDel="00000000" w:rsidR="00000000" w:rsidRPr="00000000">
        <w:rPr>
          <w:rtl w:val="0"/>
        </w:rPr>
        <w:t xml:space="preserve">3.3 Multilayer Neural Networks (MNN)</w:t>
      </w:r>
    </w:p>
    <w:p w:rsidR="00000000" w:rsidDel="00000000" w:rsidP="00000000" w:rsidRDefault="00000000" w:rsidRPr="00000000" w14:paraId="00000017">
      <w:pPr>
        <w:rPr/>
      </w:pPr>
      <w:r w:rsidDel="00000000" w:rsidR="00000000" w:rsidRPr="00000000">
        <w:rPr>
          <w:rtl w:val="0"/>
        </w:rPr>
        <w:t xml:space="preserve">MNN models can capture high-level abstractions of battery characteristics through nonlinear transform techniques.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Architecture:</w:t>
      </w:r>
      <w:r w:rsidDel="00000000" w:rsidR="00000000" w:rsidRPr="00000000">
        <w:rPr>
          <w:rtl w:val="0"/>
        </w:rPr>
        <w:t xml:space="preserve">  Research utilizes a "Total Model" or specialized models. In a state-specific approach, if an SOH diagnostic model identifies a "Normal" state, a corresponding "Normal SOC" MNN model (trained on 100%–90% SOH data) is used to provide the output.</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Optimization:</w:t>
      </w:r>
      <w:r w:rsidDel="00000000" w:rsidR="00000000" w:rsidRPr="00000000">
        <w:rPr>
          <w:rtl w:val="0"/>
        </w:rPr>
        <w:t xml:space="preserve">  Learning is often optimized using the RMSprop algorithm with Rectified Linear Unit (ReLU) activation functions in hidden layers and Softmax in the output layer.</w:t>
      </w:r>
    </w:p>
    <w:p w:rsidR="00000000" w:rsidDel="00000000" w:rsidP="00000000" w:rsidRDefault="00000000" w:rsidRPr="00000000" w14:paraId="0000001A">
      <w:pPr>
        <w:pStyle w:val="Heading4"/>
        <w:rPr/>
      </w:pPr>
      <w:bookmarkStart w:colFirst="0" w:colLast="0" w:name="_rbnhj5nr5vk" w:id="8"/>
      <w:bookmarkEnd w:id="8"/>
      <w:r w:rsidDel="00000000" w:rsidR="00000000" w:rsidRPr="00000000">
        <w:rPr>
          <w:rtl w:val="0"/>
        </w:rPr>
        <w:t xml:space="preserve">4. State-of-Health (SoH) Diagnostic Methodologies</w:t>
      </w:r>
    </w:p>
    <w:p w:rsidR="00000000" w:rsidDel="00000000" w:rsidP="00000000" w:rsidRDefault="00000000" w:rsidRPr="00000000" w14:paraId="0000001B">
      <w:pPr>
        <w:pStyle w:val="Heading5"/>
        <w:rPr/>
      </w:pPr>
      <w:bookmarkStart w:colFirst="0" w:colLast="0" w:name="_8leyytb9hdfz" w:id="9"/>
      <w:bookmarkEnd w:id="9"/>
      <w:r w:rsidDel="00000000" w:rsidR="00000000" w:rsidRPr="00000000">
        <w:rPr>
          <w:rtl w:val="0"/>
        </w:rPr>
        <w:t xml:space="preserve">4.1 Internal Resistance and Ohm's Law</w:t>
      </w:r>
    </w:p>
    <w:p w:rsidR="00000000" w:rsidDel="00000000" w:rsidP="00000000" w:rsidRDefault="00000000" w:rsidRPr="00000000" w14:paraId="0000001C">
      <w:pPr>
        <w:rPr/>
      </w:pPr>
      <w:r w:rsidDel="00000000" w:rsidR="00000000" w:rsidRPr="00000000">
        <w:rPr>
          <w:rtl w:val="0"/>
        </w:rPr>
        <w:t xml:space="preserve">For lead-acid batteries, SoH is often estimated by calculating the current internal resistance ( $R_i$ ) and comparing it to the resistance of a new battery ( $R_n$ ) and the resistance at its end-of-life ( $R_{EoL}$ ).</w:t>
      </w:r>
    </w:p>
    <w:p w:rsidR="00000000" w:rsidDel="00000000" w:rsidP="00000000" w:rsidRDefault="00000000" w:rsidRPr="00000000" w14:paraId="0000001D">
      <w:pPr>
        <w:numPr>
          <w:ilvl w:val="0"/>
          <w:numId w:val="9"/>
        </w:numPr>
        <w:ind w:left="720" w:hanging="360"/>
        <w:rPr>
          <w:u w:val="none"/>
        </w:rPr>
      </w:pPr>
      <w:r w:rsidDel="00000000" w:rsidR="00000000" w:rsidRPr="00000000">
        <w:rPr>
          <w:b w:val="1"/>
          <w:bCs w:val="1"/>
          <w:rtl w:val="0"/>
        </w:rPr>
        <w:t xml:space="preserve">Formula:</w:t>
      </w:r>
      <w:r w:rsidDel="00000000" w:rsidR="00000000" w:rsidRPr="00000000">
        <w:rPr>
          <w:rtl w:val="0"/>
        </w:rPr>
        <w:t xml:space="preserve">   $SoH = \frac{R_{EoL} - R_i}{R_{EoL} - R_n} \times 100\%$ .</w:t>
      </w:r>
    </w:p>
    <w:p w:rsidR="00000000" w:rsidDel="00000000" w:rsidP="00000000" w:rsidRDefault="00000000" w:rsidRPr="00000000" w14:paraId="0000001E">
      <w:pPr>
        <w:numPr>
          <w:ilvl w:val="0"/>
          <w:numId w:val="9"/>
        </w:numPr>
        <w:ind w:left="720" w:hanging="360"/>
        <w:rPr>
          <w:u w:val="none"/>
        </w:rPr>
      </w:pPr>
      <w:r w:rsidDel="00000000" w:rsidR="00000000" w:rsidRPr="00000000">
        <w:rPr>
          <w:b w:val="1"/>
          <w:bCs w:val="1"/>
          <w:rtl w:val="0"/>
        </w:rPr>
        <w:t xml:space="preserve">Measurement:</w:t>
      </w:r>
      <w:r w:rsidDel="00000000" w:rsidR="00000000" w:rsidRPr="00000000">
        <w:rPr>
          <w:rtl w:val="0"/>
        </w:rPr>
        <w:t xml:space="preserve">   $R_i$  is obtained by applying a current pulse and measuring the battery's voltage and current response using Ohm's Law:  $R_i = \frac{V_B - V_{B0}}{I_B - I_{B0}}$ .</w:t>
      </w:r>
    </w:p>
    <w:p w:rsidR="00000000" w:rsidDel="00000000" w:rsidP="00000000" w:rsidRDefault="00000000" w:rsidRPr="00000000" w14:paraId="0000001F">
      <w:pPr>
        <w:pStyle w:val="Heading5"/>
        <w:rPr/>
      </w:pPr>
      <w:bookmarkStart w:colFirst="0" w:colLast="0" w:name="_mqwg3tgdh1zw" w:id="10"/>
      <w:bookmarkEnd w:id="10"/>
      <w:r w:rsidDel="00000000" w:rsidR="00000000" w:rsidRPr="00000000">
        <w:rPr>
          <w:rtl w:val="0"/>
        </w:rPr>
        <w:t xml:space="preserve">4.2 Projection Technique</w:t>
      </w:r>
    </w:p>
    <w:p w:rsidR="00000000" w:rsidDel="00000000" w:rsidP="00000000" w:rsidRDefault="00000000" w:rsidRPr="00000000" w14:paraId="00000020">
      <w:pPr>
        <w:rPr/>
      </w:pPr>
      <w:r w:rsidDel="00000000" w:rsidR="00000000" w:rsidRPr="00000000">
        <w:rPr>
          <w:rtl w:val="0"/>
        </w:rPr>
        <w:t xml:space="preserve">This method for Li-ion batteries uses the slope of the dynamic impedance curve to determine health.</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Logic:</w:t>
      </w:r>
      <w:r w:rsidDel="00000000" w:rsidR="00000000" w:rsidRPr="00000000">
        <w:rPr>
          <w:rtl w:val="0"/>
        </w:rPr>
        <w:t xml:space="preserve">  As batteries age, the voltage variations ( $\Delta V$ ) increase under the same load, causing the dynamic impedance curve to become steeper.</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Measurement:</w:t>
      </w:r>
      <w:r w:rsidDel="00000000" w:rsidR="00000000" w:rsidRPr="00000000">
        <w:rPr>
          <w:rtl w:val="0"/>
        </w:rPr>
        <w:t xml:space="preserve">  By comparing the current slope ( $a_{now}$ ) to the original slope ( $a_{origin}$ ), the SoH is calculated using trigonometric functions to determine the projection length of the curve on the SoC axis.</w:t>
      </w:r>
    </w:p>
    <w:p w:rsidR="00000000" w:rsidDel="00000000" w:rsidP="00000000" w:rsidRDefault="00000000" w:rsidRPr="00000000" w14:paraId="00000023">
      <w:pPr>
        <w:pStyle w:val="Heading5"/>
        <w:rPr/>
      </w:pPr>
      <w:bookmarkStart w:colFirst="0" w:colLast="0" w:name="_gwpka091s51v" w:id="11"/>
      <w:bookmarkEnd w:id="11"/>
      <w:r w:rsidDel="00000000" w:rsidR="00000000" w:rsidRPr="00000000">
        <w:rPr>
          <w:rtl w:val="0"/>
        </w:rPr>
        <w:t xml:space="preserve">4.3 MNN State Classification</w:t>
      </w:r>
    </w:p>
    <w:p w:rsidR="00000000" w:rsidDel="00000000" w:rsidP="00000000" w:rsidRDefault="00000000" w:rsidRPr="00000000" w14:paraId="00000024">
      <w:pPr>
        <w:rPr/>
      </w:pPr>
      <w:r w:rsidDel="00000000" w:rsidR="00000000" w:rsidRPr="00000000">
        <w:rPr>
          <w:rtl w:val="0"/>
        </w:rPr>
        <w:t xml:space="preserve">The SOH can be categorized into discrete states based on remaining capacity:</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Normal:</w:t>
      </w:r>
      <w:r w:rsidDel="00000000" w:rsidR="00000000" w:rsidRPr="00000000">
        <w:rPr>
          <w:rtl w:val="0"/>
        </w:rPr>
        <w:t xml:space="preserve">  100% – 90% SOH.</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Caution:</w:t>
      </w:r>
      <w:r w:rsidDel="00000000" w:rsidR="00000000" w:rsidRPr="00000000">
        <w:rPr>
          <w:rtl w:val="0"/>
        </w:rPr>
        <w:t xml:space="preserve">  90% – 80% SOH.</w:t>
      </w:r>
    </w:p>
    <w:p w:rsidR="00000000" w:rsidDel="00000000" w:rsidP="00000000" w:rsidRDefault="00000000" w:rsidRPr="00000000" w14:paraId="00000027">
      <w:pPr>
        <w:numPr>
          <w:ilvl w:val="0"/>
          <w:numId w:val="7"/>
        </w:numPr>
        <w:ind w:left="720" w:hanging="360"/>
        <w:rPr>
          <w:u w:val="none"/>
        </w:rPr>
      </w:pPr>
      <w:r w:rsidDel="00000000" w:rsidR="00000000" w:rsidRPr="00000000">
        <w:rPr>
          <w:b w:val="1"/>
          <w:bCs w:val="1"/>
          <w:rtl w:val="0"/>
        </w:rPr>
        <w:t xml:space="preserve">Fault:</w:t>
      </w:r>
      <w:r w:rsidDel="00000000" w:rsidR="00000000" w:rsidRPr="00000000">
        <w:rPr>
          <w:rtl w:val="0"/>
        </w:rPr>
        <w:t xml:space="preserve">  &lt; 80% SOH (typically considered the point of battery failure).</w:t>
      </w:r>
    </w:p>
    <w:p w:rsidR="00000000" w:rsidDel="00000000" w:rsidP="00000000" w:rsidRDefault="00000000" w:rsidRPr="00000000" w14:paraId="00000028">
      <w:pPr>
        <w:pStyle w:val="Heading4"/>
        <w:rPr/>
      </w:pPr>
      <w:bookmarkStart w:colFirst="0" w:colLast="0" w:name="_w7tsp6qorlw0" w:id="12"/>
      <w:bookmarkEnd w:id="12"/>
      <w:r w:rsidDel="00000000" w:rsidR="00000000" w:rsidRPr="00000000">
        <w:rPr>
          <w:rtl w:val="0"/>
        </w:rPr>
        <w:t xml:space="preserve">5. Implementation and Technical Architectures</w:t>
      </w:r>
    </w:p>
    <w:p w:rsidR="00000000" w:rsidDel="00000000" w:rsidP="00000000" w:rsidRDefault="00000000" w:rsidRPr="00000000" w14:paraId="00000029">
      <w:pPr>
        <w:pStyle w:val="Heading5"/>
        <w:rPr/>
      </w:pPr>
      <w:bookmarkStart w:colFirst="0" w:colLast="0" w:name="_iunlmxtqzkii" w:id="13"/>
      <w:bookmarkEnd w:id="13"/>
      <w:r w:rsidDel="00000000" w:rsidR="00000000" w:rsidRPr="00000000">
        <w:rPr>
          <w:rtl w:val="0"/>
        </w:rPr>
        <w:t xml:space="preserve">5.1 Hardware Prototypes</w:t>
      </w:r>
    </w:p>
    <w:p w:rsidR="00000000" w:rsidDel="00000000" w:rsidP="00000000" w:rsidRDefault="00000000" w:rsidRPr="00000000" w14:paraId="0000002A">
      <w:pPr>
        <w:rPr/>
      </w:pPr>
      <w:r w:rsidDel="00000000" w:rsidR="00000000" w:rsidRPr="00000000">
        <w:rPr>
          <w:rtl w:val="0"/>
        </w:rPr>
        <w:t xml:space="preserve">Prototypes for these estimators typically include the following components:</w:t>
      </w:r>
    </w:p>
    <w:p w:rsidR="00000000" w:rsidDel="00000000" w:rsidP="00000000" w:rsidRDefault="00000000" w:rsidRPr="00000000" w14:paraId="0000002B">
      <w:pPr>
        <w:numPr>
          <w:ilvl w:val="0"/>
          <w:numId w:val="5"/>
        </w:numPr>
        <w:ind w:left="720" w:hanging="360"/>
        <w:rPr>
          <w:u w:val="none"/>
        </w:rPr>
      </w:pPr>
      <w:r w:rsidDel="00000000" w:rsidR="00000000" w:rsidRPr="00000000">
        <w:rPr>
          <w:b w:val="1"/>
          <w:bCs w:val="1"/>
          <w:rtl w:val="0"/>
        </w:rPr>
        <w:t xml:space="preserve">Microcontrollers:</w:t>
      </w:r>
      <w:r w:rsidDel="00000000" w:rsidR="00000000" w:rsidRPr="00000000">
        <w:rPr>
          <w:rtl w:val="0"/>
        </w:rPr>
        <w:t xml:space="preserve">  Modules such as the Texas Instruments TMS320F28335 (for lead-acid) or generic MCUs integrated with a BMS (for Li-ion) process sensor data.</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Sensors:</w:t>
      </w:r>
      <w:r w:rsidDel="00000000" w:rsidR="00000000" w:rsidRPr="00000000">
        <w:rPr>
          <w:rtl w:val="0"/>
        </w:rPr>
        <w:t xml:space="preserve">  Voltage and current transducers (e.g., LEM LA 55-P current sensors and LV 55-P voltage sensors) provide real-time monitoring.</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Signal Conditioning:</w:t>
      </w:r>
      <w:r w:rsidDel="00000000" w:rsidR="00000000" w:rsidRPr="00000000">
        <w:rPr>
          <w:rtl w:val="0"/>
        </w:rPr>
        <w:t xml:space="preserve">  Circuits using operational amplifiers and potentiometers are used to reduce signal amplitude while maintaining information integrity for processor input.</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Switching Components:</w:t>
      </w:r>
      <w:r w:rsidDel="00000000" w:rsidR="00000000" w:rsidRPr="00000000">
        <w:rPr>
          <w:rtl w:val="0"/>
        </w:rPr>
        <w:t xml:space="preserve">  Solid-state relays (e.g., SSR-25DD) are used to apply the pulses necessary for internal resistance measurement.</w:t>
      </w:r>
    </w:p>
    <w:p w:rsidR="00000000" w:rsidDel="00000000" w:rsidP="00000000" w:rsidRDefault="00000000" w:rsidRPr="00000000" w14:paraId="0000002F">
      <w:pPr>
        <w:pStyle w:val="Heading5"/>
        <w:rPr/>
      </w:pPr>
      <w:bookmarkStart w:colFirst="0" w:colLast="0" w:name="_oph6evevkm0f" w:id="14"/>
      <w:bookmarkEnd w:id="14"/>
      <w:r w:rsidDel="00000000" w:rsidR="00000000" w:rsidRPr="00000000">
        <w:rPr>
          <w:rtl w:val="0"/>
        </w:rPr>
        <w:t xml:space="preserve">5.2 Algorithm Design</w:t>
      </w:r>
    </w:p>
    <w:p w:rsidR="00000000" w:rsidDel="00000000" w:rsidP="00000000" w:rsidRDefault="00000000" w:rsidRPr="00000000" w14:paraId="00000030">
      <w:pPr>
        <w:rPr/>
      </w:pPr>
      <w:r w:rsidDel="00000000" w:rsidR="00000000" w:rsidRPr="00000000">
        <w:rPr>
          <w:rtl w:val="0"/>
        </w:rPr>
        <w:t xml:space="preserve">The algorithms are generally structured with a main loop for initialization and an Interrupt Service Routine (ISR) for high-frequency data capture.</w:t>
      </w:r>
    </w:p>
    <w:p w:rsidR="00000000" w:rsidDel="00000000" w:rsidP="00000000" w:rsidRDefault="00000000" w:rsidRPr="00000000" w14:paraId="00000031">
      <w:pPr>
        <w:numPr>
          <w:ilvl w:val="0"/>
          <w:numId w:val="11"/>
        </w:numPr>
        <w:ind w:left="720" w:hanging="360"/>
        <w:rPr>
          <w:u w:val="none"/>
        </w:rPr>
      </w:pPr>
      <w:r w:rsidDel="00000000" w:rsidR="00000000" w:rsidRPr="00000000">
        <w:rPr>
          <w:b w:val="1"/>
          <w:bCs w:val="1"/>
          <w:rtl w:val="0"/>
        </w:rPr>
        <w:t xml:space="preserve">Lead-Acid Sampling:</w:t>
      </w:r>
      <w:r w:rsidDel="00000000" w:rsidR="00000000" w:rsidRPr="00000000">
        <w:rPr>
          <w:rtl w:val="0"/>
        </w:rPr>
        <w:t xml:space="preserve">  5 kHz for SoC estimation and 500 kHz for internal resistance estimation.</w:t>
      </w:r>
    </w:p>
    <w:p w:rsidR="00000000" w:rsidDel="00000000" w:rsidP="00000000" w:rsidRDefault="00000000" w:rsidRPr="00000000" w14:paraId="00000032">
      <w:pPr>
        <w:numPr>
          <w:ilvl w:val="0"/>
          <w:numId w:val="11"/>
        </w:numPr>
        <w:ind w:left="720" w:hanging="360"/>
        <w:rPr>
          <w:u w:val="none"/>
        </w:rPr>
      </w:pPr>
      <w:r w:rsidDel="00000000" w:rsidR="00000000" w:rsidRPr="00000000">
        <w:rPr>
          <w:b w:val="1"/>
          <w:bCs w:val="1"/>
          <w:rtl w:val="0"/>
        </w:rPr>
        <w:t xml:space="preserve">Li-ion Sampling:</w:t>
      </w:r>
      <w:r w:rsidDel="00000000" w:rsidR="00000000" w:rsidRPr="00000000">
        <w:rPr>
          <w:rtl w:val="0"/>
        </w:rPr>
        <w:t xml:space="preserve">  Often synchronized with the BMS at a rate of 1 Hz (once per second).</w:t>
      </w:r>
    </w:p>
    <w:p w:rsidR="00000000" w:rsidDel="00000000" w:rsidP="00000000" w:rsidRDefault="00000000" w:rsidRPr="00000000" w14:paraId="00000033">
      <w:pPr>
        <w:pStyle w:val="Heading4"/>
        <w:rPr/>
      </w:pPr>
      <w:bookmarkStart w:colFirst="0" w:colLast="0" w:name="_gr4kclqps0pr" w:id="15"/>
      <w:bookmarkEnd w:id="15"/>
      <w:r w:rsidDel="00000000" w:rsidR="00000000" w:rsidRPr="00000000">
        <w:rPr>
          <w:rtl w:val="0"/>
        </w:rPr>
        <w:t xml:space="preserve">6. Experimental Results and Findings</w:t>
      </w:r>
    </w:p>
    <w:p w:rsidR="00000000" w:rsidDel="00000000" w:rsidP="00000000" w:rsidRDefault="00000000" w:rsidRPr="00000000" w14:paraId="00000034">
      <w:pPr>
        <w:pStyle w:val="Heading5"/>
        <w:rPr/>
      </w:pPr>
      <w:bookmarkStart w:colFirst="0" w:colLast="0" w:name="_y4z9o0dz9cly" w:id="16"/>
      <w:bookmarkEnd w:id="16"/>
      <w:r w:rsidDel="00000000" w:rsidR="00000000" w:rsidRPr="00000000">
        <w:rPr>
          <w:rtl w:val="0"/>
        </w:rPr>
        <w:t xml:space="preserve">6.1 Lead-Acid Observations</w:t>
      </w:r>
    </w:p>
    <w:p w:rsidR="00000000" w:rsidDel="00000000" w:rsidP="00000000" w:rsidRDefault="00000000" w:rsidRPr="00000000" w14:paraId="00000035">
      <w:pPr>
        <w:rPr/>
      </w:pPr>
      <w:r w:rsidDel="00000000" w:rsidR="00000000" w:rsidRPr="00000000">
        <w:rPr>
          <w:rtl w:val="0"/>
        </w:rPr>
        <w:t xml:space="preserve">Experimental results using a 12V/2.3Ah battery confirmed that internal resistance increases consistently with the number of discharge cycles. The SoC measurements were validated by monitoring terminal voltage during constant resistance discharge; as the battery empties, a sudden drop in power occurs, marking the "fully discharged" point.</w:t>
      </w:r>
    </w:p>
    <w:p w:rsidR="00000000" w:rsidDel="00000000" w:rsidP="00000000" w:rsidRDefault="00000000" w:rsidRPr="00000000" w14:paraId="00000036">
      <w:pPr>
        <w:pStyle w:val="Heading5"/>
        <w:rPr/>
      </w:pPr>
      <w:bookmarkStart w:colFirst="0" w:colLast="0" w:name="_xme7mupd7s4e" w:id="17"/>
      <w:bookmarkEnd w:id="17"/>
      <w:r w:rsidDel="00000000" w:rsidR="00000000" w:rsidRPr="00000000">
        <w:rPr>
          <w:rtl w:val="0"/>
        </w:rPr>
        <w:t xml:space="preserve">6.2 Lithium-Ion Performance</w:t>
      </w:r>
    </w:p>
    <w:p w:rsidR="00000000" w:rsidDel="00000000" w:rsidP="00000000" w:rsidRDefault="00000000" w:rsidRPr="00000000" w14:paraId="00000037">
      <w:pPr>
        <w:rPr/>
      </w:pPr>
      <w:r w:rsidDel="00000000" w:rsidR="00000000" w:rsidRPr="00000000">
        <w:rPr>
          <w:rtl w:val="0"/>
        </w:rPr>
        <w:t xml:space="preserve">For Li-ion modules, dynamic impedance was found to be at its lowest when the SoC is near 50% and highest when near 0% or 100%. Aged batteries exhibited significantly higher dynamic impedances and steeper slopes.</w:t>
      </w:r>
    </w:p>
    <w:p w:rsidR="00000000" w:rsidDel="00000000" w:rsidP="00000000" w:rsidRDefault="00000000" w:rsidRPr="00000000" w14:paraId="00000038">
      <w:pPr>
        <w:pStyle w:val="Heading5"/>
        <w:rPr/>
      </w:pPr>
      <w:bookmarkStart w:colFirst="0" w:colLast="0" w:name="_cfodcutq0vgp" w:id="18"/>
      <w:bookmarkEnd w:id="18"/>
      <w:r w:rsidDel="00000000" w:rsidR="00000000" w:rsidRPr="00000000">
        <w:rPr>
          <w:rtl w:val="0"/>
        </w:rPr>
        <w:t xml:space="preserve">6.3 MNN Accuracy Improvements</w:t>
      </w:r>
    </w:p>
    <w:p w:rsidR="00000000" w:rsidDel="00000000" w:rsidP="00000000" w:rsidRDefault="00000000" w:rsidRPr="00000000" w14:paraId="00000039">
      <w:pPr>
        <w:rPr/>
      </w:pPr>
      <w:r w:rsidDel="00000000" w:rsidR="00000000" w:rsidRPr="00000000">
        <w:rPr>
          <w:rtl w:val="0"/>
        </w:rPr>
        <w:t xml:space="preserve">Testing of the MNN-based system revealed that state-specific models (Normal, Caution, Fault) yield significantly lower mean absolute errors compared to a single model trained on all data points:</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Normal Model on Pattern 1:</w:t>
      </w:r>
      <w:r w:rsidDel="00000000" w:rsidR="00000000" w:rsidRPr="00000000">
        <w:rPr>
          <w:rtl w:val="0"/>
        </w:rPr>
        <w:t xml:space="preserve">  0.01% error.</w:t>
      </w:r>
    </w:p>
    <w:p w:rsidR="00000000" w:rsidDel="00000000" w:rsidP="00000000" w:rsidRDefault="00000000" w:rsidRPr="00000000" w14:paraId="0000003B">
      <w:pPr>
        <w:numPr>
          <w:ilvl w:val="0"/>
          <w:numId w:val="10"/>
        </w:numPr>
        <w:ind w:left="720" w:hanging="360"/>
        <w:rPr>
          <w:u w:val="none"/>
        </w:rPr>
      </w:pPr>
      <w:r w:rsidDel="00000000" w:rsidR="00000000" w:rsidRPr="00000000">
        <w:rPr>
          <w:b w:val="1"/>
          <w:bCs w:val="1"/>
          <w:rtl w:val="0"/>
        </w:rPr>
        <w:t xml:space="preserve">Caution Model on Pattern 2:</w:t>
      </w:r>
      <w:r w:rsidDel="00000000" w:rsidR="00000000" w:rsidRPr="00000000">
        <w:rPr>
          <w:rtl w:val="0"/>
        </w:rPr>
        <w:t xml:space="preserve">  2.03% error.</w:t>
      </w:r>
    </w:p>
    <w:p w:rsidR="00000000" w:rsidDel="00000000" w:rsidP="00000000" w:rsidRDefault="00000000" w:rsidRPr="00000000" w14:paraId="0000003C">
      <w:pPr>
        <w:numPr>
          <w:ilvl w:val="0"/>
          <w:numId w:val="10"/>
        </w:numPr>
        <w:ind w:left="720" w:hanging="360"/>
        <w:rPr>
          <w:u w:val="none"/>
        </w:rPr>
      </w:pPr>
      <w:r w:rsidDel="00000000" w:rsidR="00000000" w:rsidRPr="00000000">
        <w:rPr>
          <w:b w:val="1"/>
          <w:bCs w:val="1"/>
          <w:rtl w:val="0"/>
        </w:rPr>
        <w:t xml:space="preserve">Fault Model on Pattern 6:</w:t>
      </w:r>
      <w:r w:rsidDel="00000000" w:rsidR="00000000" w:rsidRPr="00000000">
        <w:rPr>
          <w:rtl w:val="0"/>
        </w:rPr>
        <w:t xml:space="preserve">  0.1% error.</w:t>
      </w:r>
    </w:p>
    <w:p w:rsidR="00000000" w:rsidDel="00000000" w:rsidP="00000000" w:rsidRDefault="00000000" w:rsidRPr="00000000" w14:paraId="0000003D">
      <w:pPr>
        <w:numPr>
          <w:ilvl w:val="0"/>
          <w:numId w:val="10"/>
        </w:numPr>
        <w:ind w:left="720" w:hanging="360"/>
        <w:rPr>
          <w:u w:val="none"/>
        </w:rPr>
      </w:pPr>
      <w:r w:rsidDel="00000000" w:rsidR="00000000" w:rsidRPr="00000000">
        <w:rPr>
          <w:b w:val="1"/>
          <w:bCs w:val="1"/>
          <w:rtl w:val="0"/>
        </w:rPr>
        <w:t xml:space="preserve">Total Model (All Patterns):</w:t>
      </w:r>
      <w:r w:rsidDel="00000000" w:rsidR="00000000" w:rsidRPr="00000000">
        <w:rPr>
          <w:rtl w:val="0"/>
        </w:rPr>
        <w:t xml:space="preserve">  Resulted in errors ranging from 2.29% to 7.12%, demonstrating the superior performance of the categorized diagnostic approach.</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