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120" w:after="200"/>
        <w:jc w:val="center"/>
      </w:pPr>
      <w:r>
        <w:rPr>
          <w:rFonts w:ascii="Times New Roman" w:hAnsi="Times New Roman" w:cs="Times New Roman" w:eastAsia="標楷體"/>
          <w:b/>
          <w:i w:val="0"/>
          <w:color w:val="000000"/>
          <w:sz w:val="32"/>
        </w:rPr>
        <w:t>A Comparative Study and Embedded Implementation of SOC Estimation Methods for Lithium-ion Batteries</w:t>
      </w:r>
    </w:p>
    <w:p>
      <w:pPr>
        <w:spacing w:lineRule="exact" w:line="320" w:before="0" w:after="0"/>
        <w:jc w:val="center"/>
      </w:pPr>
      <w:r>
        <w:rPr>
          <w:rFonts w:ascii="Times New Roman" w:hAnsi="Times New Roman" w:cs="Times New Roman" w:eastAsia="標楷體"/>
          <w:b w:val="0"/>
          <w:i w:val="0"/>
          <w:color w:val="000000"/>
          <w:sz w:val="24"/>
        </w:rPr>
        <w:t>Ta-Chia Hung, Wei-Kai Cheng</w:t>
      </w:r>
    </w:p>
    <w:p>
      <w:pPr>
        <w:spacing w:lineRule="exact" w:line="320" w:before="0" w:after="0"/>
        <w:jc w:val="center"/>
      </w:pPr>
      <w:r>
        <w:rPr>
          <w:rFonts w:ascii="Times New Roman" w:hAnsi="Times New Roman" w:cs="Times New Roman" w:eastAsia="標楷體"/>
          <w:b w:val="0"/>
          <w:i w:val="0"/>
          <w:color w:val="000000"/>
          <w:sz w:val="24"/>
        </w:rPr>
        <w:t>Department of Information and Computer Engineering</w:t>
      </w:r>
    </w:p>
    <w:p>
      <w:pPr>
        <w:spacing w:lineRule="exact" w:line="320" w:before="0" w:after="0"/>
        <w:jc w:val="center"/>
      </w:pPr>
      <w:r>
        <w:rPr>
          <w:rFonts w:ascii="Times New Roman" w:hAnsi="Times New Roman" w:cs="Times New Roman" w:eastAsia="標楷體"/>
          <w:b w:val="0"/>
          <w:i w:val="0"/>
          <w:color w:val="000000"/>
          <w:sz w:val="24"/>
        </w:rPr>
        <w:t>Chung Yuan Christian University</w:t>
      </w:r>
    </w:p>
    <w:p>
      <w:pPr>
        <w:spacing w:lineRule="exact" w:line="320" w:before="0" w:after="0"/>
        <w:jc w:val="center"/>
      </w:pPr>
      <w:r>
        <w:rPr>
          <w:rFonts w:ascii="Times New Roman" w:hAnsi="Times New Roman" w:cs="Times New Roman" w:eastAsia="標楷體"/>
          <w:b w:val="0"/>
          <w:i w:val="0"/>
          <w:color w:val="000000"/>
          <w:sz w:val="24"/>
        </w:rPr>
        <w:t>Taoyuan City, Taiwan</w:t>
      </w:r>
    </w:p>
    <w:p>
      <w:pPr>
        <w:spacing w:lineRule="exact" w:line="320" w:before="0" w:after="120"/>
        <w:jc w:val="center"/>
      </w:pPr>
      <w:r>
        <w:rPr>
          <w:rFonts w:ascii="Times New Roman" w:hAnsi="Times New Roman" w:cs="Times New Roman" w:eastAsia="標楷體"/>
          <w:b w:val="0"/>
          <w:i w:val="0"/>
          <w:color w:val="000000"/>
          <w:sz w:val="24"/>
        </w:rPr>
        <w:t>g11277602@cycu.edu.tw, wkcheng@cycu.edu.tw</w:t>
      </w:r>
    </w:p>
    <w:p>
      <w:pPr>
        <w:sectPr>
          <w:pgSz w:w="11906" w:h="16838"/>
          <w:pgMar w:top="1361" w:right="1077" w:bottom="1361" w:left="1304" w:header="720" w:footer="720" w:gutter="0"/>
          <w:cols w:space="340" w:num="1" w:equalWidth="1"/>
          <w:docGrid w:linePitch="360"/>
        </w:sectPr>
      </w:pPr>
    </w:p>
    <w:p>
      <w:pPr>
        <w:spacing w:lineRule="exact" w:line="360" w:before="40" w:after="80"/>
        <w:jc w:val="center"/>
      </w:pPr>
      <w:r>
        <w:rPr>
          <w:rFonts w:ascii="Times New Roman" w:hAnsi="Times New Roman" w:cs="Times New Roman" w:eastAsia="標楷體"/>
          <w:b/>
          <w:i w:val="0"/>
          <w:color w:val="000000"/>
          <w:sz w:val="24"/>
        </w:rPr>
        <w:t>摘要</w:t>
      </w:r>
    </w:p>
    <w:p>
      <w:pPr>
        <w:spacing w:lineRule="exact" w:line="360" w:before="0" w:after="0"/>
        <w:ind w:firstLine="340"/>
        <w:jc w:val="both"/>
      </w:pPr>
      <w:r>
        <w:rPr>
          <w:rFonts w:ascii="Times New Roman" w:hAnsi="Times New Roman" w:cs="Times New Roman" w:eastAsia="標楷體"/>
          <w:b w:val="0"/>
          <w:i w:val="0"/>
          <w:color w:val="000000"/>
          <w:sz w:val="20"/>
        </w:rPr>
        <w:t>荷電狀態（State of Charge, SOC）估測是電池管理系統的核心機能，然而既有方法比較多在離線環境以單一精度指標進行，鮮少在實際部署的資源受限微控制器上量化精度與資源代價，且常因電池、協定與硬體不一致而缺乏公平基準。本研究建構一套「同電池、同協定、同微控制器」的自動化跨輪測試平台，並於同一顆 STM32 上以一致韌體規範實作庫倫計數、擴展卡爾曼濾波器（EKF）與動態阻抗三種方法，於精度、強健性與嵌入式資源三軸進行公平比較。整輪板端實測顯示：EKF 於四種放電倍率之均方根誤差均低於 1%（0.22–0.90%）為三法最佳，庫倫計數約 1.7–2.0%，動態阻抗線上單獨反推因曲線平坦而病態（23–31%）；資源代價 EKF 約為庫倫的 50 倍，但於 64 MHz 平台僅佔每秒更新週期的萬分之三。本研究並揭示一關鍵工程發現：參數與對照表若非與部署端量測鏈同域建立，演算法再正確亦會系統性失準；量測域一致性之重要性凌駕於演算法選擇本身。</w:t>
      </w:r>
    </w:p>
    <w:p>
      <w:pPr>
        <w:spacing w:lineRule="exact" w:line="360" w:before="0" w:after="120"/>
        <w:jc w:val="both"/>
      </w:pPr>
      <w:r>
        <w:rPr>
          <w:rFonts w:ascii="Times New Roman" w:hAnsi="Times New Roman" w:cs="Times New Roman" w:eastAsia="標楷體"/>
          <w:b w:val="0"/>
          <w:i w:val="0"/>
          <w:color w:val="000000"/>
          <w:sz w:val="20"/>
        </w:rPr>
        <w:t>關鍵詞：鋰離子電池、荷電狀態估測、庫倫計數、擴展卡爾曼濾波器、動態阻抗法、嵌入式系統</w:t>
      </w:r>
    </w:p>
    <w:p>
      <w:pPr>
        <w:spacing w:lineRule="exact" w:line="360" w:before="40" w:after="80"/>
        <w:jc w:val="center"/>
      </w:pPr>
      <w:r>
        <w:rPr>
          <w:rFonts w:ascii="Times New Roman" w:hAnsi="Times New Roman" w:cs="Times New Roman" w:eastAsia="標楷體"/>
          <w:b/>
          <w:i w:val="0"/>
          <w:color w:val="000000"/>
          <w:sz w:val="24"/>
        </w:rPr>
        <w:t>Abstract</w:t>
      </w:r>
    </w:p>
    <w:p>
      <w:pPr>
        <w:spacing w:lineRule="exact" w:line="360" w:before="0" w:after="0"/>
        <w:ind w:firstLine="227"/>
        <w:jc w:val="both"/>
      </w:pPr>
      <w:r>
        <w:rPr>
          <w:rFonts w:ascii="Times New Roman" w:hAnsi="Times New Roman" w:cs="Times New Roman" w:eastAsia="標楷體"/>
          <w:b w:val="0"/>
          <w:i w:val="0"/>
          <w:color w:val="000000"/>
          <w:sz w:val="20"/>
        </w:rPr>
        <w:t>State of Charge (SOC) estimation is a core function of a battery management system, yet existing method comparisons are mostly performed offline using a single accuracy metric and rarely quantify, on the resource-constrained microcontroller where the algorithm is actually deployed, both accuracy and resource cost; differing cells, protocols and hardware further prevent a fair baseline. This work builds an automated multi-round test platform that keeps the cell, the test protocol and the microcontroller identical across methods, and implements Coulomb counting, an Extended Kalman Filter (EKF) and a dynamic-impedance method on the same STM32 under a unified firmware specification. Full-round on-board measurements show that the EKF attains a root-mean-square error below 1% (0.22-0.90%) at all four discharge rates - the best of the three - while Coulomb counting yields 1.7-2.0% and impedance-only online inversion is ill-posed (23-31%) for this flat Z-SOC cell. The EKF costs about 50x the compute of Coulomb counting yet consumes only 0.024% of the 1-second update budget at 64 MHz. We further show that measurement-domain consistency dominates algorithm choice: parameters and look-up tables built in a different measurement domain than deployment cause systematic error regardless of algorithm correctness.</w:t>
      </w:r>
    </w:p>
    <w:p>
      <w:pPr>
        <w:spacing w:lineRule="exact" w:line="360" w:before="0" w:after="120"/>
        <w:jc w:val="both"/>
      </w:pPr>
      <w:r>
        <w:rPr>
          <w:rFonts w:ascii="Times New Roman" w:hAnsi="Times New Roman" w:cs="Times New Roman" w:eastAsia="標楷體"/>
          <w:b/>
          <w:i w:val="0"/>
          <w:color w:val="000000"/>
          <w:sz w:val="20"/>
        </w:rPr>
        <w:t>Keywords</w:t>
      </w:r>
      <w:r>
        <w:rPr>
          <w:rFonts w:ascii="Times New Roman" w:hAnsi="Times New Roman" w:cs="Times New Roman" w:eastAsia="標楷體"/>
          <w:b w:val="0"/>
          <w:i w:val="0"/>
          <w:color w:val="000000"/>
          <w:sz w:val="20"/>
        </w:rPr>
        <w:t>: lithium-ion battery, state of charge estimation, Coulomb counting, extended Kalman filter, dynamic impedance, embedded systems</w:t>
      </w:r>
    </w:p>
    <w:p>
      <w:pPr>
        <w:keepNext/>
        <w:spacing w:lineRule="exact" w:line="360" w:before="180" w:after="80"/>
        <w:jc w:val="left"/>
      </w:pPr>
      <w:r>
        <w:rPr>
          <w:rFonts w:ascii="Times New Roman" w:hAnsi="Times New Roman" w:cs="Times New Roman" w:eastAsia="標楷體"/>
          <w:b/>
          <w:i w:val="0"/>
          <w:color w:val="000000"/>
          <w:sz w:val="24"/>
        </w:rPr>
        <w:t>1.  Introduction</w:t>
      </w:r>
    </w:p>
    <w:p>
      <w:pPr>
        <w:spacing w:lineRule="exact" w:line="360" w:before="0" w:after="0"/>
        <w:jc w:val="both"/>
      </w:pPr>
      <w:r>
        <w:rPr>
          <w:rFonts w:ascii="Times New Roman" w:hAnsi="Times New Roman" w:cs="Times New Roman" w:eastAsia="標楷體"/>
          <w:b w:val="0"/>
          <w:i w:val="0"/>
          <w:color w:val="000000"/>
          <w:sz w:val="20"/>
        </w:rPr>
        <w:t>Driven by decarbonization and the electrification of transport, lithium-ion batteries have become the dominant energy-storage element in electric vehicles, portable electronics and grid storage. The battery management system (BMS) is therefore indispensable, and among its functions the State of Charge (SOC) - the ratio of remaining to rated capacity - plays the role of a fuel gauge for range prediction, energy scheduling and over-charge/over-discharge protection. SOC is an internal state that cannot be sensed directly; it can only be inferred from terminal voltage, current and temperature of a highly nonlinear, time-varying electrochemical cell [1], [4].</w:t>
      </w:r>
    </w:p>
    <w:p>
      <w:pPr>
        <w:spacing w:lineRule="exact" w:line="360" w:before="0" w:after="0"/>
        <w:ind w:firstLine="227"/>
        <w:jc w:val="both"/>
      </w:pPr>
      <w:r>
        <w:rPr>
          <w:rFonts w:ascii="Times New Roman" w:hAnsi="Times New Roman" w:cs="Times New Roman" w:eastAsia="標楷體"/>
          <w:b w:val="0"/>
          <w:i w:val="0"/>
          <w:color w:val="000000"/>
          <w:sz w:val="20"/>
        </w:rPr>
        <w:t>Although comparisons of SOC estimation methods are abundant, two gaps remain insufficiently addressed. The first is evaluation-environment distortion. Most comparisons are conducted on a PC or in MATLAB and report the root-mean-square error (RMSE) as almost the only metric, whereas the real deployment target is a resource-constrained microcontroller unit (MCU). How much Flash and RAM a method occupies after porting, how many CPU cycles each update costs, and how much accuracy is lost after fixed-point implementation are seldom quantified. Notably, commercial BMS ICs generally adopt Coulomb counting with OCV correction rather than the theoretically more accurate Extended Kalman Filter (EKF) [5] - an engineering trade-off among memory, computation and cost that is rarely presented with measured data.</w:t>
      </w:r>
    </w:p>
    <w:p>
      <w:pPr>
        <w:spacing w:lineRule="exact" w:line="360" w:before="0" w:after="0"/>
        <w:ind w:firstLine="227"/>
        <w:jc w:val="both"/>
      </w:pPr>
      <w:r>
        <w:rPr>
          <w:rFonts w:ascii="Times New Roman" w:hAnsi="Times New Roman" w:cs="Times New Roman" w:eastAsia="標楷體"/>
          <w:b w:val="0"/>
          <w:i w:val="0"/>
          <w:color w:val="000000"/>
          <w:sz w:val="20"/>
        </w:rPr>
        <w:t>The second gap is unfair benchmarking. Existing cross-method comparisons often use different cells, protocols and hardware, so the reported accuracies share no common baseline. The dynamic-impedance method [1], for instance, claims to need no initial value and to suit embedded use, yet it has never been placed on the same MCU, the same cell and the same protocol as an EKF for an equal resource-versus-accuracy comparison.</w:t>
      </w:r>
    </w:p>
    <w:p>
      <w:pPr>
        <w:spacing w:lineRule="exact" w:line="360" w:before="0" w:after="0"/>
        <w:ind w:firstLine="227"/>
        <w:jc w:val="both"/>
      </w:pPr>
      <w:r>
        <w:rPr>
          <w:rFonts w:ascii="Times New Roman" w:hAnsi="Times New Roman" w:cs="Times New Roman" w:eastAsia="標楷體"/>
          <w:b w:val="0"/>
          <w:i w:val="0"/>
          <w:color w:val="000000"/>
          <w:sz w:val="20"/>
        </w:rPr>
        <w:t>To address both gaps, this work builds a "same cell, same protocol, same MCU" fair-comparison platform and quantifies the accuracy-cost trade-off of embedded SOC estimation. Its contributions are: (1) an automated, long-term unattended cross-round test platform integrating an STM32, a programmable DC supply, a programmable electronic load and a high-accuracy current/voltage sensor with an automation scheduler; (2) an implementation of Coulomb counting, the EKF and the dynamic-impedance method on one STM32 under a unified firmware specification; and (3) an equal, reproducible comparison of accuracy, robustness and embedded resource cost, from which we derive both a method-selection guide and a key finding that measurement-domain consistency dominates algorithm choice.</w:t>
      </w:r>
    </w:p>
    <w:p>
      <w:pPr>
        <w:keepNext/>
        <w:spacing w:lineRule="exact" w:line="360" w:before="180" w:after="80"/>
        <w:jc w:val="left"/>
      </w:pPr>
      <w:r>
        <w:rPr>
          <w:rFonts w:ascii="Times New Roman" w:hAnsi="Times New Roman" w:cs="Times New Roman" w:eastAsia="標楷體"/>
          <w:b/>
          <w:i w:val="0"/>
          <w:color w:val="000000"/>
          <w:sz w:val="24"/>
        </w:rPr>
        <w:t>2.  Background and Related Work</w:t>
      </w:r>
    </w:p>
    <w:p>
      <w:pPr>
        <w:keepNext/>
        <w:spacing w:lineRule="exact" w:line="360" w:before="120" w:after="60"/>
        <w:jc w:val="left"/>
      </w:pPr>
      <w:r>
        <w:rPr>
          <w:rFonts w:ascii="Times New Roman" w:hAnsi="Times New Roman" w:cs="Times New Roman" w:eastAsia="標楷體"/>
          <w:b/>
          <w:i w:val="0"/>
          <w:color w:val="000000"/>
          <w:sz w:val="22"/>
        </w:rPr>
        <w:t>2.1  Equivalent-circuit model</w:t>
      </w:r>
    </w:p>
    <w:p>
      <w:pPr>
        <w:spacing w:lineRule="exact" w:line="360" w:before="0" w:after="0"/>
        <w:jc w:val="both"/>
      </w:pPr>
      <w:r>
        <w:rPr>
          <w:rFonts w:ascii="Times New Roman" w:hAnsi="Times New Roman" w:cs="Times New Roman" w:eastAsia="標楷體"/>
          <w:b w:val="0"/>
          <w:i w:val="0"/>
          <w:color w:val="000000"/>
          <w:sz w:val="20"/>
        </w:rPr>
        <w:t>A first-order RC (Thevenin) equivalent-circuit model is adopted as the cell model: an open-circuit-voltage source V_OC(SOC) in series with an ohmic resistance R0 and one parallel RC branch (R1, C1) that captures polarization. The terminal voltage is V_t = V_OC(SOC) - I*R0 - V1, where V1 is the RC-branch voltage. This structure balances fidelity and identifiability for embedded use [6], and the nonlinear V_OC(SOC) relation is obtained by a pseudo-OCV table [5].</w:t>
      </w:r>
    </w:p>
    <w:p>
      <w:pPr>
        <w:keepNext/>
        <w:spacing w:lineRule="exact" w:line="360" w:before="120" w:after="60"/>
        <w:jc w:val="left"/>
      </w:pPr>
      <w:r>
        <w:rPr>
          <w:rFonts w:ascii="Times New Roman" w:hAnsi="Times New Roman" w:cs="Times New Roman" w:eastAsia="標楷體"/>
          <w:b/>
          <w:i w:val="0"/>
          <w:color w:val="000000"/>
          <w:sz w:val="22"/>
        </w:rPr>
        <w:t>2.2  SOC estimation methods</w:t>
      </w:r>
    </w:p>
    <w:p>
      <w:pPr>
        <w:spacing w:lineRule="exact" w:line="360" w:before="0" w:after="0"/>
        <w:ind w:firstLine="227"/>
        <w:jc w:val="both"/>
      </w:pPr>
      <w:r>
        <w:rPr>
          <w:rFonts w:ascii="Times New Roman" w:hAnsi="Times New Roman" w:cs="Times New Roman" w:eastAsia="標楷體"/>
          <w:b w:val="0"/>
          <w:i w:val="0"/>
          <w:color w:val="000000"/>
          <w:sz w:val="20"/>
        </w:rPr>
        <w:t>Coulomb counting integrates current to accumulate charge; it is simple and model-free but has no self-correction and accumulates drift [4]. OCV look-up maps a rested open-circuit voltage to SOC but requires long relaxation. Model-based methods, dominated by the Kalman-filter family (KF/EKF/UKF), fuse current integration with a voltage measurement to correct the estimate and can recover from a wrong initial value [2], [3], [7], [9]. The dynamic-impedance method [1] estimates SOC from the instantaneous voltage-to-current ratio during operation, avoiding both an initial value and long rest, and online impedance has also been used for low-complexity modeling and aging indication [8]. Commercial ICs nonetheless favor Coulomb counting with OCV correction for resource reasons [5], a trade-off this work quantifies on real hardware.</w:t>
      </w:r>
    </w:p>
    <w:p>
      <w:pPr>
        <w:keepNext/>
        <w:spacing w:lineRule="exact" w:line="360" w:before="180" w:after="80"/>
        <w:jc w:val="left"/>
      </w:pPr>
      <w:r>
        <w:rPr>
          <w:rFonts w:ascii="Times New Roman" w:hAnsi="Times New Roman" w:cs="Times New Roman" w:eastAsia="標楷體"/>
          <w:b/>
          <w:i w:val="0"/>
          <w:color w:val="000000"/>
          <w:sz w:val="24"/>
        </w:rPr>
        <w:t>3.  Test Platform and Estimator Implementation</w:t>
      </w:r>
    </w:p>
    <w:p>
      <w:pPr>
        <w:keepNext/>
        <w:spacing w:lineRule="exact" w:line="360" w:before="120" w:after="60"/>
        <w:jc w:val="left"/>
      </w:pPr>
      <w:r>
        <w:rPr>
          <w:rFonts w:ascii="Times New Roman" w:hAnsi="Times New Roman" w:cs="Times New Roman" w:eastAsia="標楷體"/>
          <w:b/>
          <w:i w:val="0"/>
          <w:color w:val="000000"/>
          <w:sz w:val="22"/>
        </w:rPr>
        <w:t>3.1  System architecture</w:t>
      </w:r>
    </w:p>
    <w:p>
      <w:pPr>
        <w:spacing w:lineRule="exact" w:line="360" w:before="0" w:after="0"/>
        <w:jc w:val="both"/>
      </w:pPr>
      <w:r>
        <w:rPr>
          <w:rFonts w:ascii="Times New Roman" w:hAnsi="Times New Roman" w:cs="Times New Roman" w:eastAsia="標楷體"/>
          <w:b w:val="0"/>
          <w:i w:val="0"/>
          <w:color w:val="000000"/>
          <w:sz w:val="20"/>
        </w:rPr>
        <w:t>The platform plays two roles simultaneously: an excitation-and-ground-truth rig and an embedded estimation target. A programmable DC supply (ITECH IT6302, CC-CV) and electronic load (ITECH IT8512A+, CC) apply controlled charge/discharge to a single device-under-test (DUT), while an STM32G071 with an INA226 current/voltage sensor runs the estimators. Both roles share the same cell and the same high-power loop, so the instrument ground truth and the MCU estimate can be aligned point-by-point. Sensing uses a four-wire Kelvin connection across a 10 mOhm shunt; charge and discharge are two independent paths, of which only one is energized at a time. The architecture is shown in Fig. 1.</w:t>
      </w:r>
    </w:p>
    <w:p>
      <w:pPr>
        <w:spacing w:before="80" w:after="40"/>
        <w:jc w:val="center"/>
      </w:pPr>
      <w:r>
        <w:drawing>
          <wp:inline xmlns:a="http://schemas.openxmlformats.org/drawingml/2006/main" xmlns:pic="http://schemas.openxmlformats.org/drawingml/2006/picture">
            <wp:extent cx="2772000" cy="2016626"/>
            <wp:docPr id="1" name="Picture 1"/>
            <wp:cNvGraphicFramePr>
              <a:graphicFrameLocks noChangeAspect="1"/>
            </wp:cNvGraphicFramePr>
            <a:graphic>
              <a:graphicData uri="http://schemas.openxmlformats.org/drawingml/2006/picture">
                <pic:pic>
                  <pic:nvPicPr>
                    <pic:cNvPr id="0" name="fig_arch_en.png"/>
                    <pic:cNvPicPr/>
                  </pic:nvPicPr>
                  <pic:blipFill>
                    <a:blip r:embed="rId9"/>
                    <a:stretch>
                      <a:fillRect/>
                    </a:stretch>
                  </pic:blipFill>
                  <pic:spPr>
                    <a:xfrm>
                      <a:off x="0" y="0"/>
                      <a:ext cx="2772000" cy="2016626"/>
                    </a:xfrm>
                    <a:prstGeom prst="rect"/>
                  </pic:spPr>
                </pic:pic>
              </a:graphicData>
            </a:graphic>
          </wp:inline>
        </w:drawing>
      </w:r>
    </w:p>
    <w:p>
      <w:pPr>
        <w:spacing w:lineRule="exact" w:line="260" w:before="20" w:after="120"/>
        <w:jc w:val="center"/>
      </w:pPr>
      <w:r>
        <w:rPr>
          <w:rFonts w:ascii="Times New Roman" w:hAnsi="Times New Roman" w:cs="Times New Roman" w:eastAsia="標楷體"/>
          <w:b/>
          <w:i w:val="0"/>
          <w:color w:val="000000"/>
          <w:sz w:val="19"/>
        </w:rPr>
        <w:t>Figure 1.  Test-platform system architecture.</w:t>
      </w:r>
    </w:p>
    <w:p>
      <w:pPr>
        <w:keepNext/>
        <w:spacing w:lineRule="exact" w:line="360" w:before="120" w:after="60"/>
        <w:jc w:val="left"/>
      </w:pPr>
      <w:r>
        <w:rPr>
          <w:rFonts w:ascii="Times New Roman" w:hAnsi="Times New Roman" w:cs="Times New Roman" w:eastAsia="標楷體"/>
          <w:b/>
          <w:i w:val="0"/>
          <w:color w:val="000000"/>
          <w:sz w:val="22"/>
        </w:rPr>
        <w:t>3.2  Current calibration</w:t>
      </w:r>
    </w:p>
    <w:p>
      <w:pPr>
        <w:spacing w:lineRule="exact" w:line="360" w:before="0" w:after="0"/>
        <w:jc w:val="both"/>
      </w:pPr>
      <w:r>
        <w:rPr>
          <w:rFonts w:ascii="Times New Roman" w:hAnsi="Times New Roman" w:cs="Times New Roman" w:eastAsia="標楷體"/>
          <w:b w:val="0"/>
          <w:i w:val="0"/>
          <w:color w:val="000000"/>
          <w:sz w:val="20"/>
        </w:rPr>
        <w:t>Because every method rests on current integration, current accuracy is the foundation of the platform. The raw INA226 reading was systematically about 15.8% high (mainly shunt tolerance and ADC offset). A 14-point piecewise-linear look-up table (seven charge and seven discharge points from 0 to 2 A) was built using the instruments as reference. Validated against four independent currents not in the table, the full-range error is below 0.21 mA, i.e. 0.012% at 1.75 A, down from the +13-16% raw bias.</w:t>
      </w:r>
    </w:p>
    <w:p>
      <w:pPr>
        <w:keepNext/>
        <w:spacing w:lineRule="exact" w:line="360" w:before="120" w:after="60"/>
        <w:jc w:val="left"/>
      </w:pPr>
      <w:r>
        <w:rPr>
          <w:rFonts w:ascii="Times New Roman" w:hAnsi="Times New Roman" w:cs="Times New Roman" w:eastAsia="標楷體"/>
          <w:b/>
          <w:i w:val="0"/>
          <w:color w:val="000000"/>
          <w:sz w:val="22"/>
        </w:rPr>
        <w:t>3.3  Cross-round test protocol</w:t>
      </w:r>
    </w:p>
    <w:p>
      <w:pPr>
        <w:spacing w:lineRule="exact" w:line="360" w:before="0" w:after="0"/>
        <w:jc w:val="both"/>
      </w:pPr>
      <w:r>
        <w:rPr>
          <w:rFonts w:ascii="Times New Roman" w:hAnsi="Times New Roman" w:cs="Times New Roman" w:eastAsia="標楷體"/>
          <w:b w:val="0"/>
          <w:i w:val="0"/>
          <w:color w:val="000000"/>
          <w:sz w:val="20"/>
        </w:rPr>
        <w:t>One round comprises four "charge - rest - discharge - rest" groups; charging is always 0.5C, and the four discharge rates are 0.5C, 1.0C, 1.5C and 2.0C (1C = 2 A). A dV/dI perturbation is injected every 60 s during discharge - a brief step down to 0.2C - to serve the dynamic-impedance method, and Coulomb counting covers the perturbation seconds. Records persist across runs. The cell is a custom NMC unit (2000 mAh, V_cv = 4.2 V, V_cut = 2.5 V); its rate capability is very flat, with discharge capacity dropping only about 1% from 0.5C to 2.0C and good round-to-round repeatability, providing a favorable and stable basis for the comparison.</w:t>
      </w:r>
    </w:p>
    <w:p>
      <w:pPr>
        <w:keepNext/>
        <w:spacing w:lineRule="exact" w:line="360" w:before="120" w:after="60"/>
        <w:jc w:val="left"/>
      </w:pPr>
      <w:r>
        <w:rPr>
          <w:rFonts w:ascii="Times New Roman" w:hAnsi="Times New Roman" w:cs="Times New Roman" w:eastAsia="標楷體"/>
          <w:b/>
          <w:i w:val="0"/>
          <w:color w:val="000000"/>
          <w:sz w:val="22"/>
        </w:rPr>
        <w:t>3.4  The three estimators</w:t>
      </w:r>
    </w:p>
    <w:p>
      <w:pPr>
        <w:spacing w:lineRule="exact" w:line="360" w:before="0" w:after="0"/>
        <w:jc w:val="both"/>
      </w:pPr>
      <w:r>
        <w:rPr>
          <w:rFonts w:ascii="Times New Roman" w:hAnsi="Times New Roman" w:cs="Times New Roman" w:eastAsia="標楷體"/>
          <w:b w:val="0"/>
          <w:i w:val="0"/>
          <w:color w:val="000000"/>
          <w:sz w:val="20"/>
        </w:rPr>
        <w:t>All three run on a common firmware skeleton at a 1 Hz update; only the core estimation module is swapped, keeping the measurement path, timebase and I/O identical for fairness.</w:t>
      </w:r>
    </w:p>
    <w:p>
      <w:pPr>
        <w:spacing w:lineRule="exact" w:line="360" w:before="0" w:after="0"/>
        <w:ind w:firstLine="227"/>
        <w:jc w:val="both"/>
      </w:pPr>
      <w:r>
        <w:rPr>
          <w:rFonts w:ascii="Times New Roman" w:hAnsi="Times New Roman" w:cs="Times New Roman" w:eastAsia="標楷體"/>
          <w:b/>
          <w:i w:val="0"/>
          <w:color w:val="000000"/>
          <w:sz w:val="20"/>
        </w:rPr>
        <w:t>Coulomb counting</w:t>
      </w:r>
      <w:r>
        <w:rPr>
          <w:rFonts w:ascii="Times New Roman" w:hAnsi="Times New Roman" w:cs="Times New Roman" w:eastAsia="標楷體"/>
          <w:b w:val="0"/>
          <w:i w:val="0"/>
          <w:color w:val="000000"/>
          <w:sz w:val="20"/>
        </w:rPr>
        <w:t xml:space="preserve"> recursively integrates the calibrated current, and also serves as the per-cycle ground truth after normalization by the measured full-discharge capacity q_full:</w:t>
      </w:r>
    </w:p>
    <w:p>
      <w:pPr>
        <w:spacing w:lineRule="exact" w:line="360" w:before="60" w:after="60"/>
        <w:jc w:val="center"/>
      </w:pPr>
      <w:r>
        <w:rPr>
          <w:rFonts w:ascii="Times New Roman" w:hAnsi="Times New Roman" w:cs="Times New Roman" w:eastAsia="標楷體"/>
          <w:b w:val="0"/>
          <w:i/>
          <w:color w:val="000000"/>
          <w:sz w:val="21"/>
        </w:rPr>
        <w:t>SOC(t) = SOC(t0) - (1 / C_rated) ∫ I(τ) dτ</w:t>
      </w:r>
    </w:p>
    <w:p>
      <w:pPr>
        <w:spacing w:lineRule="exact" w:line="360" w:before="0" w:after="0"/>
        <w:ind w:firstLine="227"/>
        <w:jc w:val="both"/>
      </w:pPr>
      <w:r>
        <w:rPr>
          <w:rFonts w:ascii="Times New Roman" w:hAnsi="Times New Roman" w:cs="Times New Roman" w:eastAsia="標楷體"/>
          <w:b/>
          <w:i w:val="0"/>
          <w:color w:val="000000"/>
          <w:sz w:val="20"/>
        </w:rPr>
        <w:t>Extended Kalman Filter.</w:t>
      </w:r>
      <w:r>
        <w:rPr>
          <w:rFonts w:ascii="Times New Roman" w:hAnsi="Times New Roman" w:cs="Times New Roman" w:eastAsia="標楷體"/>
          <w:b w:val="0"/>
          <w:i w:val="0"/>
          <w:color w:val="000000"/>
          <w:sz w:val="20"/>
        </w:rPr>
        <w:t xml:space="preserve"> With state x = [SOC, V1] and the first-order RC model, the observation is nonlinear only through V_OC(SOC), read from a 21-point GITT pseudo-OCV table refined to a 1% grid so its slope (the Jacobian) is continuous. Because there are two states and one scalar observation, the gain needs only a scalar division - no matrix inversion - which is the key to real-time operation on the MCU. Model parameters, identified by least squares from GITT relaxation pulses, are R0 = 51.9 mOhm (cell-terminal domain), R1 = 21.3 mOhm and τ1 = 177.5 s.</w:t>
      </w:r>
    </w:p>
    <w:p>
      <w:pPr>
        <w:spacing w:lineRule="exact" w:line="360" w:before="60" w:after="60"/>
        <w:jc w:val="center"/>
      </w:pPr>
      <w:r>
        <w:rPr>
          <w:rFonts w:ascii="Times New Roman" w:hAnsi="Times New Roman" w:cs="Times New Roman" w:eastAsia="標楷體"/>
          <w:b w:val="0"/>
          <w:i/>
          <w:color w:val="000000"/>
          <w:sz w:val="21"/>
        </w:rPr>
        <w:t>V_t = V_OC(SOC) - I·R0 - V1</w:t>
      </w:r>
    </w:p>
    <w:p>
      <w:pPr>
        <w:spacing w:lineRule="exact" w:line="360" w:before="0" w:after="0"/>
        <w:ind w:firstLine="227"/>
        <w:jc w:val="both"/>
      </w:pPr>
      <w:r>
        <w:rPr>
          <w:rFonts w:ascii="Times New Roman" w:hAnsi="Times New Roman" w:cs="Times New Roman" w:eastAsia="標楷體"/>
          <w:b/>
          <w:i w:val="0"/>
          <w:color w:val="000000"/>
          <w:sz w:val="20"/>
        </w:rPr>
        <w:t>Dynamic impedance.</w:t>
      </w:r>
      <w:r>
        <w:rPr>
          <w:rFonts w:ascii="Times New Roman" w:hAnsi="Times New Roman" w:cs="Times New Roman" w:eastAsia="標楷體"/>
          <w:b w:val="0"/>
          <w:i w:val="0"/>
          <w:color w:val="000000"/>
          <w:sz w:val="20"/>
        </w:rPr>
        <w:t xml:space="preserve"> The instantaneous impedance Z = ΔV/ΔI from each perturbation is fit against SOC by a quadratic, whose inverse yields SOC (with a branch selection because the parabola is symmetric). The combined fit is a = 20.2, b = -21.6, c = 63.6 mOhm with a minimum near 53% SOC, consistent with the literature [1].</w:t>
      </w:r>
    </w:p>
    <w:p>
      <w:pPr>
        <w:spacing w:lineRule="exact" w:line="360" w:before="60" w:after="60"/>
        <w:jc w:val="center"/>
      </w:pPr>
      <w:r>
        <w:rPr>
          <w:rFonts w:ascii="Times New Roman" w:hAnsi="Times New Roman" w:cs="Times New Roman" w:eastAsia="標楷體"/>
          <w:b w:val="0"/>
          <w:i/>
          <w:color w:val="000000"/>
          <w:sz w:val="21"/>
        </w:rPr>
        <w:t>Z = ΔV / ΔI = a·SOC² + b·SOC + c</w:t>
      </w:r>
    </w:p>
    <w:p>
      <w:pPr>
        <w:keepNext/>
        <w:spacing w:lineRule="exact" w:line="360" w:before="180" w:after="80"/>
        <w:jc w:val="left"/>
      </w:pPr>
      <w:r>
        <w:rPr>
          <w:rFonts w:ascii="Times New Roman" w:hAnsi="Times New Roman" w:cs="Times New Roman" w:eastAsia="標楷體"/>
          <w:b/>
          <w:i w:val="0"/>
          <w:color w:val="000000"/>
          <w:sz w:val="24"/>
        </w:rPr>
        <w:t>4.  Experimental Results</w:t>
      </w:r>
    </w:p>
    <w:p>
      <w:pPr>
        <w:keepNext/>
        <w:spacing w:lineRule="exact" w:line="360" w:before="120" w:after="60"/>
        <w:jc w:val="left"/>
      </w:pPr>
      <w:r>
        <w:rPr>
          <w:rFonts w:ascii="Times New Roman" w:hAnsi="Times New Roman" w:cs="Times New Roman" w:eastAsia="標楷體"/>
          <w:b/>
          <w:i w:val="0"/>
          <w:color w:val="000000"/>
          <w:sz w:val="22"/>
        </w:rPr>
        <w:t>4.1  Accuracy</w:t>
      </w:r>
    </w:p>
    <w:p>
      <w:pPr>
        <w:spacing w:lineRule="exact" w:line="360" w:before="0" w:after="0"/>
        <w:jc w:val="both"/>
      </w:pPr>
      <w:r>
        <w:rPr>
          <w:rFonts w:ascii="Times New Roman" w:hAnsi="Times New Roman" w:cs="Times New Roman" w:eastAsia="標楷體"/>
          <w:b w:val="0"/>
          <w:i w:val="0"/>
          <w:color w:val="000000"/>
          <w:sz w:val="20"/>
        </w:rPr>
        <w:t>On one round of four discharge cycles, the three methods are scored against the per-cycle re-anchored Coulomb ground truth (Table 1); Fig. 2 overlays the trajectories. The EKF tracks the truth almost exactly, with RMSE below 1% at every rate - the best of the three. Coulomb counting is a stable 1.7-2.0% with a small constant negative bias that traces to a scale difference between the board and bench current chains, not to the algorithm. Impedance-only online inversion is ill-posed for this flat-curve cell (23-31%): the whole Z-SOC curve spans only about 6 mOhm while single-event measurement noise is about 2 mOhm, so mid-SOC branch selection is nearly random. Under the idealized assumption of always choosing the correct branch, the offline RMSE is 6-10%, an upper bound not available online.</w:t>
      </w:r>
    </w:p>
    <w:p>
      <w:pPr>
        <w:keepNext/>
        <w:spacing w:lineRule="exact" w:line="240" w:before="100" w:after="40"/>
        <w:jc w:val="left"/>
      </w:pPr>
      <w:r>
        <w:rPr>
          <w:rFonts w:ascii="Times New Roman" w:hAnsi="Times New Roman" w:cs="Times New Roman" w:eastAsia="標楷體"/>
          <w:b/>
          <w:i w:val="0"/>
          <w:color w:val="000000"/>
          <w:sz w:val="18"/>
        </w:rPr>
        <w:t>Table 1.  Accuracy of the three methods (Round 41 board measurement; dynamic-impedance offline over rounds 1-3).</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cantSplit/>
        </w:trPr>
        <w:tc>
          <w:tcPr>
            <w:tcW w:type="dxa" w:w="1417"/>
            <w:shd w:val="clear" w:fill="DCE6F4"/>
          </w:tcPr>
          <w:p>
            <w:pPr>
              <w:keepNext/>
              <w:spacing w:lineRule="exact" w:line="230" w:after="0" w:before="0"/>
              <w:jc w:val="center"/>
            </w:pPr>
            <w:r/>
            <w:r>
              <w:rPr>
                <w:rFonts w:ascii="Times New Roman" w:hAnsi="Times New Roman" w:cs="Times New Roman" w:eastAsia="標楷體"/>
                <w:b/>
                <w:color w:val="000000"/>
                <w:sz w:val="17"/>
              </w:rPr>
              <w:t>Method</w:t>
            </w:r>
          </w:p>
        </w:tc>
        <w:tc>
          <w:tcPr>
            <w:tcW w:type="dxa" w:w="850"/>
            <w:shd w:val="clear" w:fill="DCE6F4"/>
          </w:tcPr>
          <w:p>
            <w:pPr>
              <w:keepNext/>
              <w:spacing w:lineRule="exact" w:line="230" w:after="0" w:before="0"/>
              <w:jc w:val="center"/>
            </w:pPr>
            <w:r/>
            <w:r>
              <w:rPr>
                <w:rFonts w:ascii="Times New Roman" w:hAnsi="Times New Roman" w:cs="Times New Roman" w:eastAsia="標楷體"/>
                <w:b/>
                <w:color w:val="000000"/>
                <w:sz w:val="17"/>
              </w:rPr>
              <w:t>RMSE (%)</w:t>
            </w:r>
          </w:p>
        </w:tc>
        <w:tc>
          <w:tcPr>
            <w:tcW w:type="dxa" w:w="794"/>
            <w:shd w:val="clear" w:fill="DCE6F4"/>
          </w:tcPr>
          <w:p>
            <w:pPr>
              <w:keepNext/>
              <w:spacing w:lineRule="exact" w:line="230" w:after="0" w:before="0"/>
              <w:jc w:val="center"/>
            </w:pPr>
            <w:r/>
            <w:r>
              <w:rPr>
                <w:rFonts w:ascii="Times New Roman" w:hAnsi="Times New Roman" w:cs="Times New Roman" w:eastAsia="標楷體"/>
                <w:b/>
                <w:color w:val="000000"/>
                <w:sz w:val="17"/>
              </w:rPr>
              <w:t>MAE (%)</w:t>
            </w:r>
          </w:p>
        </w:tc>
        <w:tc>
          <w:tcPr>
            <w:tcW w:type="dxa" w:w="794"/>
            <w:shd w:val="clear" w:fill="DCE6F4"/>
          </w:tcPr>
          <w:p>
            <w:pPr>
              <w:keepNext/>
              <w:spacing w:lineRule="exact" w:line="230" w:after="0" w:before="0"/>
              <w:jc w:val="center"/>
            </w:pPr>
            <w:r/>
            <w:r>
              <w:rPr>
                <w:rFonts w:ascii="Times New Roman" w:hAnsi="Times New Roman" w:cs="Times New Roman" w:eastAsia="標楷體"/>
                <w:b/>
                <w:color w:val="000000"/>
                <w:sz w:val="17"/>
              </w:rPr>
              <w:t>e_max (%)</w:t>
            </w:r>
          </w:p>
        </w:tc>
        <w:tc>
          <w:tcPr>
            <w:tcW w:type="dxa" w:w="1361"/>
            <w:shd w:val="clear" w:fill="DCE6F4"/>
          </w:tcPr>
          <w:p>
            <w:pPr>
              <w:keepNext/>
              <w:spacing w:lineRule="exact" w:line="230" w:after="0" w:before="0"/>
              <w:jc w:val="center"/>
            </w:pPr>
            <w:r/>
            <w:r>
              <w:rPr>
                <w:rFonts w:ascii="Times New Roman" w:hAnsi="Times New Roman" w:cs="Times New Roman" w:eastAsia="標楷體"/>
                <w:b/>
                <w:color w:val="000000"/>
                <w:sz w:val="17"/>
              </w:rPr>
              <w:t>Note</w:t>
            </w:r>
          </w:p>
        </w:tc>
      </w:tr>
      <w:tr>
        <w:trPr>
          <w:cantSplit/>
        </w:trPr>
        <w:tc>
          <w:tcPr>
            <w:tcW w:type="dxa" w:w="1417"/>
          </w:tcPr>
          <w:p>
            <w:pPr>
              <w:keepNext/>
              <w:spacing w:lineRule="exact" w:line="230" w:after="0" w:before="0"/>
              <w:jc w:val="left"/>
            </w:pPr>
            <w:r/>
            <w:r>
              <w:rPr>
                <w:rFonts w:ascii="Times New Roman" w:hAnsi="Times New Roman" w:cs="Times New Roman" w:eastAsia="標楷體"/>
                <w:b w:val="0"/>
                <w:color w:val="000000"/>
                <w:sz w:val="17"/>
              </w:rPr>
              <w:t>Coulomb (board)</w:t>
            </w:r>
          </w:p>
        </w:tc>
        <w:tc>
          <w:tcPr>
            <w:tcW w:type="dxa" w:w="850"/>
          </w:tcPr>
          <w:p>
            <w:pPr>
              <w:keepNext/>
              <w:spacing w:lineRule="exact" w:line="230" w:after="0" w:before="0"/>
              <w:jc w:val="center"/>
            </w:pPr>
            <w:r/>
            <w:r>
              <w:rPr>
                <w:rFonts w:ascii="Times New Roman" w:hAnsi="Times New Roman" w:cs="Times New Roman" w:eastAsia="標楷體"/>
                <w:b w:val="0"/>
                <w:color w:val="000000"/>
                <w:sz w:val="17"/>
              </w:rPr>
              <w:t>1.7-2.0</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1.5-1.7</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3.0-3.5</w:t>
            </w:r>
          </w:p>
        </w:tc>
        <w:tc>
          <w:tcPr>
            <w:tcW w:type="dxa" w:w="1361"/>
          </w:tcPr>
          <w:p>
            <w:pPr>
              <w:keepNext/>
              <w:spacing w:lineRule="exact" w:line="230" w:after="0" w:before="0"/>
              <w:jc w:val="center"/>
            </w:pPr>
            <w:r/>
            <w:r>
              <w:rPr>
                <w:rFonts w:ascii="Times New Roman" w:hAnsi="Times New Roman" w:cs="Times New Roman" w:eastAsia="標楷體"/>
                <w:b w:val="0"/>
                <w:color w:val="000000"/>
                <w:sz w:val="17"/>
              </w:rPr>
              <w:t>measurement-chain bias</w:t>
            </w:r>
          </w:p>
        </w:tc>
      </w:tr>
      <w:tr>
        <w:trPr>
          <w:cantSplit/>
        </w:trPr>
        <w:tc>
          <w:tcPr>
            <w:tcW w:type="dxa" w:w="1417"/>
          </w:tcPr>
          <w:p>
            <w:pPr>
              <w:keepNext/>
              <w:spacing w:lineRule="exact" w:line="230" w:after="0" w:before="0"/>
              <w:jc w:val="left"/>
            </w:pPr>
            <w:r/>
            <w:r>
              <w:rPr>
                <w:rFonts w:ascii="Times New Roman" w:hAnsi="Times New Roman" w:cs="Times New Roman" w:eastAsia="標楷體"/>
                <w:b w:val="0"/>
                <w:color w:val="000000"/>
                <w:sz w:val="17"/>
              </w:rPr>
              <w:t>EKF (board)</w:t>
            </w:r>
          </w:p>
        </w:tc>
        <w:tc>
          <w:tcPr>
            <w:tcW w:type="dxa" w:w="850"/>
          </w:tcPr>
          <w:p>
            <w:pPr>
              <w:keepNext/>
              <w:spacing w:lineRule="exact" w:line="230" w:after="0" w:before="0"/>
              <w:jc w:val="center"/>
            </w:pPr>
            <w:r/>
            <w:r>
              <w:rPr>
                <w:rFonts w:ascii="Times New Roman" w:hAnsi="Times New Roman" w:cs="Times New Roman" w:eastAsia="標楷體"/>
                <w:b w:val="0"/>
                <w:color w:val="000000"/>
                <w:sz w:val="17"/>
              </w:rPr>
              <w:t>0.22-0.90</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0.20-0.76</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0.6-1.9</w:t>
            </w:r>
          </w:p>
        </w:tc>
        <w:tc>
          <w:tcPr>
            <w:tcW w:type="dxa" w:w="1361"/>
          </w:tcPr>
          <w:p>
            <w:pPr>
              <w:keepNext/>
              <w:spacing w:lineRule="exact" w:line="230" w:after="0" w:before="0"/>
              <w:jc w:val="center"/>
            </w:pPr>
            <w:r/>
            <w:r>
              <w:rPr>
                <w:rFonts w:ascii="Times New Roman" w:hAnsi="Times New Roman" w:cs="Times New Roman" w:eastAsia="標楷體"/>
                <w:b w:val="0"/>
                <w:color w:val="000000"/>
                <w:sz w:val="17"/>
              </w:rPr>
              <w:t>best; &lt;1% all rates</w:t>
            </w:r>
          </w:p>
        </w:tc>
      </w:tr>
      <w:tr>
        <w:trPr>
          <w:cantSplit/>
        </w:trPr>
        <w:tc>
          <w:tcPr>
            <w:tcW w:type="dxa" w:w="1417"/>
          </w:tcPr>
          <w:p>
            <w:pPr>
              <w:keepNext/>
              <w:spacing w:lineRule="exact" w:line="230" w:after="0" w:before="0"/>
              <w:jc w:val="left"/>
            </w:pPr>
            <w:r/>
            <w:r>
              <w:rPr>
                <w:rFonts w:ascii="Times New Roman" w:hAnsi="Times New Roman" w:cs="Times New Roman" w:eastAsia="標楷體"/>
                <w:b w:val="0"/>
                <w:color w:val="000000"/>
                <w:sz w:val="17"/>
              </w:rPr>
              <w:t>Dyn. imp. (online)</w:t>
            </w:r>
          </w:p>
        </w:tc>
        <w:tc>
          <w:tcPr>
            <w:tcW w:type="dxa" w:w="850"/>
          </w:tcPr>
          <w:p>
            <w:pPr>
              <w:keepNext/>
              <w:spacing w:lineRule="exact" w:line="230" w:after="0" w:before="0"/>
              <w:jc w:val="center"/>
            </w:pPr>
            <w:r/>
            <w:r>
              <w:rPr>
                <w:rFonts w:ascii="Times New Roman" w:hAnsi="Times New Roman" w:cs="Times New Roman" w:eastAsia="標楷體"/>
                <w:b w:val="0"/>
                <w:color w:val="000000"/>
                <w:sz w:val="17"/>
              </w:rPr>
              <w:t>23-31</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~96</w:t>
            </w:r>
          </w:p>
        </w:tc>
        <w:tc>
          <w:tcPr>
            <w:tcW w:type="dxa" w:w="1361"/>
          </w:tcPr>
          <w:p>
            <w:pPr>
              <w:keepNext/>
              <w:spacing w:lineRule="exact" w:line="230" w:after="0" w:before="0"/>
              <w:jc w:val="center"/>
            </w:pPr>
            <w:r/>
            <w:r>
              <w:rPr>
                <w:rFonts w:ascii="Times New Roman" w:hAnsi="Times New Roman" w:cs="Times New Roman" w:eastAsia="標楷體"/>
                <w:b w:val="0"/>
                <w:color w:val="000000"/>
                <w:sz w:val="17"/>
              </w:rPr>
              <w:t>inversion ill-posed</w:t>
            </w:r>
          </w:p>
        </w:tc>
      </w:tr>
      <w:tr>
        <w:trPr>
          <w:cantSplit/>
        </w:trPr>
        <w:tc>
          <w:tcPr>
            <w:tcW w:type="dxa" w:w="1417"/>
          </w:tcPr>
          <w:p>
            <w:pPr>
              <w:keepNext w:val="0"/>
              <w:spacing w:lineRule="exact" w:line="230" w:after="0" w:before="0"/>
              <w:jc w:val="left"/>
            </w:pPr>
            <w:r/>
            <w:r>
              <w:rPr>
                <w:rFonts w:ascii="Times New Roman" w:hAnsi="Times New Roman" w:cs="Times New Roman" w:eastAsia="標楷體"/>
                <w:b w:val="0"/>
                <w:color w:val="000000"/>
                <w:sz w:val="17"/>
              </w:rPr>
              <w:t>Dyn. imp. (offline)</w:t>
            </w:r>
          </w:p>
        </w:tc>
        <w:tc>
          <w:tcPr>
            <w:tcW w:type="dxa" w:w="850"/>
          </w:tcPr>
          <w:p>
            <w:pPr>
              <w:keepNext w:val="0"/>
              <w:spacing w:lineRule="exact" w:line="230" w:after="0" w:before="0"/>
              <w:jc w:val="center"/>
            </w:pPr>
            <w:r/>
            <w:r>
              <w:rPr>
                <w:rFonts w:ascii="Times New Roman" w:hAnsi="Times New Roman" w:cs="Times New Roman" w:eastAsia="標楷體"/>
                <w:b w:val="0"/>
                <w:color w:val="000000"/>
                <w:sz w:val="17"/>
              </w:rPr>
              <w:t>6-10</w:t>
            </w:r>
          </w:p>
        </w:tc>
        <w:tc>
          <w:tcPr>
            <w:tcW w:type="dxa" w:w="794"/>
          </w:tcPr>
          <w:p>
            <w:pPr>
              <w:keepNext w:val="0"/>
              <w:spacing w:lineRule="exact" w:line="230" w:after="0" w:before="0"/>
              <w:jc w:val="center"/>
            </w:pPr>
            <w:r/>
            <w:r>
              <w:rPr>
                <w:rFonts w:ascii="Times New Roman" w:hAnsi="Times New Roman" w:cs="Times New Roman" w:eastAsia="標楷體"/>
                <w:b w:val="0"/>
                <w:color w:val="000000"/>
                <w:sz w:val="17"/>
              </w:rPr>
              <w:t>5-8</w:t>
            </w:r>
          </w:p>
        </w:tc>
        <w:tc>
          <w:tcPr>
            <w:tcW w:type="dxa" w:w="794"/>
          </w:tcPr>
          <w:p>
            <w:pPr>
              <w:keepNext w:val="0"/>
              <w:spacing w:lineRule="exact" w:line="230" w:after="0" w:before="0"/>
              <w:jc w:val="center"/>
            </w:pPr>
            <w:r/>
            <w:r>
              <w:rPr>
                <w:rFonts w:ascii="Times New Roman" w:hAnsi="Times New Roman" w:cs="Times New Roman" w:eastAsia="標楷體"/>
                <w:b w:val="0"/>
                <w:color w:val="000000"/>
                <w:sz w:val="17"/>
              </w:rPr>
              <w:t>~20</w:t>
            </w:r>
          </w:p>
        </w:tc>
        <w:tc>
          <w:tcPr>
            <w:tcW w:type="dxa" w:w="1361"/>
          </w:tcPr>
          <w:p>
            <w:pPr>
              <w:keepNext w:val="0"/>
              <w:spacing w:lineRule="exact" w:line="230" w:after="0" w:before="0"/>
              <w:jc w:val="center"/>
            </w:pPr>
            <w:r/>
            <w:r>
              <w:rPr>
                <w:rFonts w:ascii="Times New Roman" w:hAnsi="Times New Roman" w:cs="Times New Roman" w:eastAsia="標楷體"/>
                <w:b w:val="0"/>
                <w:color w:val="000000"/>
                <w:sz w:val="17"/>
              </w:rPr>
              <w:t>oracle-branch bound</w:t>
            </w:r>
          </w:p>
        </w:tc>
      </w:tr>
    </w:tbl>
    <w:p>
      <w:pPr>
        <w:spacing w:lineRule="exact" w:line="120" w:before="0" w:after="80"/>
        <w:jc w:val="both"/>
      </w:pPr>
    </w:p>
    <w:p>
      <w:pPr>
        <w:sectPr>
          <w:type w:val="continuous"/>
          <w:pgSz w:w="11906" w:h="16838"/>
          <w:pgMar w:top="1361" w:right="1077" w:bottom="1361" w:left="1304" w:header="720" w:footer="720" w:gutter="0"/>
          <w:cols w:space="340" w:num="2" w:equalWidth="1"/>
          <w:docGrid w:linePitch="360"/>
        </w:sectPr>
      </w:pPr>
    </w:p>
    <w:p>
      <w:pPr>
        <w:spacing w:before="80" w:after="40"/>
        <w:jc w:val="center"/>
      </w:pPr>
      <w:r>
        <w:drawing>
          <wp:inline xmlns:a="http://schemas.openxmlformats.org/drawingml/2006/main" xmlns:pic="http://schemas.openxmlformats.org/drawingml/2006/picture">
            <wp:extent cx="5616000" cy="4212000"/>
            <wp:docPr id="2" name="Picture 2"/>
            <wp:cNvGraphicFramePr>
              <a:graphicFrameLocks noChangeAspect="1"/>
            </wp:cNvGraphicFramePr>
            <a:graphic>
              <a:graphicData uri="http://schemas.openxmlformats.org/drawingml/2006/picture">
                <pic:pic>
                  <pic:nvPicPr>
                    <pic:cNvPr id="0" name="fig_soc_en.png"/>
                    <pic:cNvPicPr/>
                  </pic:nvPicPr>
                  <pic:blipFill>
                    <a:blip r:embed="rId10"/>
                    <a:stretch>
                      <a:fillRect/>
                    </a:stretch>
                  </pic:blipFill>
                  <pic:spPr>
                    <a:xfrm>
                      <a:off x="0" y="0"/>
                      <a:ext cx="5616000" cy="4212000"/>
                    </a:xfrm>
                    <a:prstGeom prst="rect"/>
                  </pic:spPr>
                </pic:pic>
              </a:graphicData>
            </a:graphic>
          </wp:inline>
        </w:drawing>
      </w:r>
    </w:p>
    <w:p>
      <w:pPr>
        <w:spacing w:lineRule="exact" w:line="260" w:before="20" w:after="120"/>
        <w:jc w:val="center"/>
      </w:pPr>
      <w:r>
        <w:rPr>
          <w:rFonts w:ascii="Times New Roman" w:hAnsi="Times New Roman" w:cs="Times New Roman" w:eastAsia="標楷體"/>
          <w:b/>
          <w:i w:val="0"/>
          <w:color w:val="000000"/>
          <w:sz w:val="19"/>
        </w:rPr>
        <w:t>Figure 2.  On-board SOC trajectories of the three methods versus the bench Coulomb ground truth (Round 41, four discharge rates; each panel annotates RMSE against the bench truth).</w:t>
      </w:r>
    </w:p>
    <w:p>
      <w:pPr>
        <w:sectPr>
          <w:type w:val="continuous"/>
          <w:pgSz w:w="11906" w:h="16838"/>
          <w:pgMar w:top="1361" w:right="1077" w:bottom="1361" w:left="1304" w:header="720" w:footer="720" w:gutter="0"/>
          <w:cols w:space="340" w:num="1" w:equalWidth="1"/>
          <w:docGrid w:linePitch="360"/>
        </w:sectPr>
      </w:pPr>
    </w:p>
    <w:p>
      <w:pPr>
        <w:keepNext/>
        <w:spacing w:lineRule="exact" w:line="360" w:before="120" w:after="60"/>
        <w:jc w:val="left"/>
      </w:pPr>
      <w:r>
        <w:rPr>
          <w:rFonts w:ascii="Times New Roman" w:hAnsi="Times New Roman" w:cs="Times New Roman" w:eastAsia="標楷體"/>
          <w:b/>
          <w:i w:val="0"/>
          <w:color w:val="000000"/>
          <w:sz w:val="22"/>
        </w:rPr>
        <w:t>4.2  Measurement-domain consistency (key finding)</w:t>
      </w:r>
    </w:p>
    <w:p>
      <w:pPr>
        <w:spacing w:lineRule="exact" w:line="360" w:before="0" w:after="0"/>
        <w:jc w:val="both"/>
      </w:pPr>
      <w:r>
        <w:rPr>
          <w:rFonts w:ascii="Times New Roman" w:hAnsi="Times New Roman" w:cs="Times New Roman" w:eastAsia="標楷體"/>
          <w:b w:val="0"/>
          <w:i w:val="0"/>
          <w:color w:val="000000"/>
          <w:sz w:val="20"/>
        </w:rPr>
        <w:t>Before correction (Round 40) the EKF showed a rate-dependent positive bias (RMSE 0.87-4.48%). The cause was a measurement-domain mismatch: R0 had been identified from the load-terminal voltage, which includes about 24 mOhm of wiring and contact resistance, whereas the board EKF uses the INA226 voltage at the cell terminals. Re-referencing R0 to the cell domain (51.9 mOhm) drove all four rates below 1% and removed the rate-dependent bias entirely (Round 41). The dynamic-impedance method exposes the same root cause more starkly: the bench-domain parabola minimum (57.9 mOhm) lies above every board measurement, so the discriminant has no real root and the whole table fails. Between the two domains only the constant term c shifts by about 24 mOhm - the quadratic and linear terms, set by the cell electrochemistry, are essentially unchanged [8]. The engineering lesson is that parameters and look-up tables must be built in the same measurement domain as deployment; otherwise a correct algorithm still fails systematically. This is a concrete instance of the evaluation-versus-deployment distortion raised in Section 1.</w:t>
      </w:r>
    </w:p>
    <w:p>
      <w:pPr>
        <w:keepNext/>
        <w:spacing w:lineRule="exact" w:line="360" w:before="120" w:after="60"/>
        <w:jc w:val="left"/>
      </w:pPr>
      <w:r>
        <w:rPr>
          <w:rFonts w:ascii="Times New Roman" w:hAnsi="Times New Roman" w:cs="Times New Roman" w:eastAsia="標楷體"/>
          <w:b/>
          <w:i w:val="0"/>
          <w:color w:val="000000"/>
          <w:sz w:val="22"/>
        </w:rPr>
        <w:t>4.3  Robustness</w:t>
      </w:r>
    </w:p>
    <w:p>
      <w:pPr>
        <w:spacing w:lineRule="exact" w:line="360" w:before="0" w:after="0"/>
        <w:jc w:val="both"/>
      </w:pPr>
      <w:r>
        <w:rPr>
          <w:rFonts w:ascii="Times New Roman" w:hAnsi="Times New Roman" w:cs="Times New Roman" w:eastAsia="標楷體"/>
          <w:b w:val="0"/>
          <w:i w:val="0"/>
          <w:color w:val="000000"/>
          <w:sz w:val="20"/>
        </w:rPr>
        <w:t>Three stress tests (Table 2) compare the methods. On a wrong initial value, Coulomb counting never recovers (mitigated here by an automatic full-charge re-anchor), the EKF is pulled back within a single measurement update, and dynamic impedance re-estimates at the first event. Under C-rate stepping the EKF absorbs the transient in its RC branch, whereas dynamic impedance mistakes the step for a perturbation event. Under injected sensor noise, Coulomb counting and the EKF stay bounded while impedance inversion flips branches catastrophically - confirming the ill-posedness is mathematical, not a sensor-quality issue.</w:t>
      </w:r>
    </w:p>
    <w:p>
      <w:pPr>
        <w:keepNext/>
        <w:spacing w:lineRule="exact" w:line="240" w:before="100" w:after="40"/>
        <w:jc w:val="left"/>
      </w:pPr>
      <w:r>
        <w:rPr>
          <w:rFonts w:ascii="Times New Roman" w:hAnsi="Times New Roman" w:cs="Times New Roman" w:eastAsia="標楷體"/>
          <w:b/>
          <w:i w:val="0"/>
          <w:color w:val="000000"/>
          <w:sz w:val="18"/>
        </w:rPr>
        <w:t>Table 2.  Robustness comparison (initial-value and C-rate rows are board measurements; noise row is a PC replay with injected Gaussian noise).</w:t>
      </w:r>
    </w:p>
    <w:tbl>
      <w:tblPr>
        <w:tblStyle w:val="TableGrid"/>
        <w:tblW w:type="auto" w:w="0"/>
        <w:jc w:val="center"/>
        <w:tblLook w:firstColumn="1" w:firstRow="1" w:lastColumn="0" w:lastRow="0" w:noHBand="0" w:noVBand="1" w:val="04A0"/>
      </w:tblPr>
      <w:tblGrid>
        <w:gridCol w:w="2381"/>
        <w:gridCol w:w="2381"/>
        <w:gridCol w:w="2381"/>
        <w:gridCol w:w="2381"/>
      </w:tblGrid>
      <w:tr>
        <w:trPr>
          <w:cantSplit/>
        </w:trPr>
        <w:tc>
          <w:tcPr>
            <w:tcW w:type="dxa" w:w="1757"/>
            <w:shd w:val="clear" w:fill="DCE6F4"/>
          </w:tcPr>
          <w:p>
            <w:pPr>
              <w:keepNext/>
              <w:spacing w:lineRule="exact" w:line="230" w:after="0" w:before="0"/>
              <w:jc w:val="center"/>
            </w:pPr>
            <w:r/>
            <w:r>
              <w:rPr>
                <w:rFonts w:ascii="Times New Roman" w:hAnsi="Times New Roman" w:cs="Times New Roman" w:eastAsia="標楷體"/>
                <w:b/>
                <w:color w:val="000000"/>
                <w:sz w:val="17"/>
              </w:rPr>
              <w:t>Stress test</w:t>
            </w:r>
          </w:p>
        </w:tc>
        <w:tc>
          <w:tcPr>
            <w:tcW w:type="dxa" w:w="1077"/>
            <w:shd w:val="clear" w:fill="DCE6F4"/>
          </w:tcPr>
          <w:p>
            <w:pPr>
              <w:keepNext/>
              <w:spacing w:lineRule="exact" w:line="230" w:after="0" w:before="0"/>
              <w:jc w:val="center"/>
            </w:pPr>
            <w:r/>
            <w:r>
              <w:rPr>
                <w:rFonts w:ascii="Times New Roman" w:hAnsi="Times New Roman" w:cs="Times New Roman" w:eastAsia="標楷體"/>
                <w:b/>
                <w:color w:val="000000"/>
                <w:sz w:val="17"/>
              </w:rPr>
              <w:t>Coulomb</w:t>
            </w:r>
          </w:p>
        </w:tc>
        <w:tc>
          <w:tcPr>
            <w:tcW w:type="dxa" w:w="1304"/>
            <w:shd w:val="clear" w:fill="DCE6F4"/>
          </w:tcPr>
          <w:p>
            <w:pPr>
              <w:keepNext/>
              <w:spacing w:lineRule="exact" w:line="230" w:after="0" w:before="0"/>
              <w:jc w:val="center"/>
            </w:pPr>
            <w:r/>
            <w:r>
              <w:rPr>
                <w:rFonts w:ascii="Times New Roman" w:hAnsi="Times New Roman" w:cs="Times New Roman" w:eastAsia="標楷體"/>
                <w:b/>
                <w:color w:val="000000"/>
                <w:sz w:val="17"/>
              </w:rPr>
              <w:t>EKF</w:t>
            </w:r>
          </w:p>
        </w:tc>
        <w:tc>
          <w:tcPr>
            <w:tcW w:type="dxa" w:w="1361"/>
            <w:shd w:val="clear" w:fill="DCE6F4"/>
          </w:tcPr>
          <w:p>
            <w:pPr>
              <w:keepNext/>
              <w:spacing w:lineRule="exact" w:line="230" w:after="0" w:before="0"/>
              <w:jc w:val="center"/>
            </w:pPr>
            <w:r/>
            <w:r>
              <w:rPr>
                <w:rFonts w:ascii="Times New Roman" w:hAnsi="Times New Roman" w:cs="Times New Roman" w:eastAsia="標楷體"/>
                <w:b/>
                <w:color w:val="000000"/>
                <w:sz w:val="17"/>
              </w:rPr>
              <w:t>Dynamic impedance</w:t>
            </w:r>
          </w:p>
        </w:tc>
      </w:tr>
      <w:tr>
        <w:trPr>
          <w:cantSplit/>
        </w:trPr>
        <w:tc>
          <w:tcPr>
            <w:tcW w:type="dxa" w:w="1757"/>
          </w:tcPr>
          <w:p>
            <w:pPr>
              <w:keepNext/>
              <w:spacing w:lineRule="exact" w:line="230" w:after="0" w:before="0"/>
              <w:jc w:val="left"/>
            </w:pPr>
            <w:r/>
            <w:r>
              <w:rPr>
                <w:rFonts w:ascii="Times New Roman" w:hAnsi="Times New Roman" w:cs="Times New Roman" w:eastAsia="標楷體"/>
                <w:b w:val="0"/>
                <w:color w:val="000000"/>
                <w:sz w:val="17"/>
              </w:rPr>
              <w:t>Wrong initial value</w:t>
            </w:r>
          </w:p>
        </w:tc>
        <w:tc>
          <w:tcPr>
            <w:tcW w:type="dxa" w:w="1077"/>
          </w:tcPr>
          <w:p>
            <w:pPr>
              <w:keepNext/>
              <w:spacing w:lineRule="exact" w:line="230" w:after="0" w:before="0"/>
              <w:jc w:val="center"/>
            </w:pPr>
            <w:r/>
            <w:r>
              <w:rPr>
                <w:rFonts w:ascii="Times New Roman" w:hAnsi="Times New Roman" w:cs="Times New Roman" w:eastAsia="標楷體"/>
                <w:b w:val="0"/>
                <w:color w:val="000000"/>
                <w:sz w:val="17"/>
              </w:rPr>
              <w:t>no recovery</w:t>
            </w:r>
          </w:p>
        </w:tc>
        <w:tc>
          <w:tcPr>
            <w:tcW w:type="dxa" w:w="1304"/>
          </w:tcPr>
          <w:p>
            <w:pPr>
              <w:keepNext/>
              <w:spacing w:lineRule="exact" w:line="230" w:after="0" w:before="0"/>
              <w:jc w:val="center"/>
            </w:pPr>
            <w:r/>
            <w:r>
              <w:rPr>
                <w:rFonts w:ascii="Times New Roman" w:hAnsi="Times New Roman" w:cs="Times New Roman" w:eastAsia="標楷體"/>
                <w:b w:val="0"/>
                <w:color w:val="000000"/>
                <w:sz w:val="17"/>
              </w:rPr>
              <w:t>single-step pull-back</w:t>
            </w:r>
          </w:p>
        </w:tc>
        <w:tc>
          <w:tcPr>
            <w:tcW w:type="dxa" w:w="1361"/>
          </w:tcPr>
          <w:p>
            <w:pPr>
              <w:keepNext/>
              <w:spacing w:lineRule="exact" w:line="230" w:after="0" w:before="0"/>
              <w:jc w:val="center"/>
            </w:pPr>
            <w:r/>
            <w:r>
              <w:rPr>
                <w:rFonts w:ascii="Times New Roman" w:hAnsi="Times New Roman" w:cs="Times New Roman" w:eastAsia="標楷體"/>
                <w:b w:val="0"/>
                <w:color w:val="000000"/>
                <w:sz w:val="17"/>
              </w:rPr>
              <w:t>re-estimate &lt;=60 s</w:t>
            </w:r>
          </w:p>
        </w:tc>
      </w:tr>
      <w:tr>
        <w:trPr>
          <w:cantSplit/>
        </w:trPr>
        <w:tc>
          <w:tcPr>
            <w:tcW w:type="dxa" w:w="1757"/>
          </w:tcPr>
          <w:p>
            <w:pPr>
              <w:keepNext/>
              <w:spacing w:lineRule="exact" w:line="230" w:after="0" w:before="0"/>
              <w:jc w:val="left"/>
            </w:pPr>
            <w:r/>
            <w:r>
              <w:rPr>
                <w:rFonts w:ascii="Times New Roman" w:hAnsi="Times New Roman" w:cs="Times New Roman" w:eastAsia="標楷體"/>
                <w:b w:val="0"/>
                <w:color w:val="000000"/>
                <w:sz w:val="17"/>
              </w:rPr>
              <w:t>C-rate switch peak</w:t>
            </w:r>
          </w:p>
        </w:tc>
        <w:tc>
          <w:tcPr>
            <w:tcW w:type="dxa" w:w="1077"/>
          </w:tcPr>
          <w:p>
            <w:pPr>
              <w:keepNext/>
              <w:spacing w:lineRule="exact" w:line="230" w:after="0" w:before="0"/>
              <w:jc w:val="center"/>
            </w:pPr>
            <w:r/>
            <w:r>
              <w:rPr>
                <w:rFonts w:ascii="Times New Roman" w:hAnsi="Times New Roman" w:cs="Times New Roman" w:eastAsia="標楷體"/>
                <w:b w:val="0"/>
                <w:color w:val="000000"/>
                <w:sz w:val="17"/>
              </w:rPr>
              <w:t>&lt;=0.21%</w:t>
            </w:r>
          </w:p>
        </w:tc>
        <w:tc>
          <w:tcPr>
            <w:tcW w:type="dxa" w:w="1304"/>
          </w:tcPr>
          <w:p>
            <w:pPr>
              <w:keepNext/>
              <w:spacing w:lineRule="exact" w:line="230" w:after="0" w:before="0"/>
              <w:jc w:val="center"/>
            </w:pPr>
            <w:r/>
            <w:r>
              <w:rPr>
                <w:rFonts w:ascii="Times New Roman" w:hAnsi="Times New Roman" w:cs="Times New Roman" w:eastAsia="標楷體"/>
                <w:b w:val="0"/>
                <w:color w:val="000000"/>
                <w:sz w:val="17"/>
              </w:rPr>
              <w:t>&lt;=0.48%</w:t>
            </w:r>
          </w:p>
        </w:tc>
        <w:tc>
          <w:tcPr>
            <w:tcW w:type="dxa" w:w="1361"/>
          </w:tcPr>
          <w:p>
            <w:pPr>
              <w:keepNext/>
              <w:spacing w:lineRule="exact" w:line="230" w:after="0" w:before="0"/>
              <w:jc w:val="center"/>
            </w:pPr>
            <w:r/>
            <w:r>
              <w:rPr>
                <w:rFonts w:ascii="Times New Roman" w:hAnsi="Times New Roman" w:cs="Times New Roman" w:eastAsia="標楷體"/>
                <w:b w:val="0"/>
                <w:color w:val="000000"/>
                <w:sz w:val="17"/>
              </w:rPr>
              <w:t>10-48%</w:t>
            </w:r>
          </w:p>
        </w:tc>
      </w:tr>
      <w:tr>
        <w:trPr>
          <w:cantSplit/>
        </w:trPr>
        <w:tc>
          <w:tcPr>
            <w:tcW w:type="dxa" w:w="1757"/>
          </w:tcPr>
          <w:p>
            <w:pPr>
              <w:keepNext w:val="0"/>
              <w:spacing w:lineRule="exact" w:line="230" w:after="0" w:before="0"/>
              <w:jc w:val="left"/>
            </w:pPr>
            <w:r/>
            <w:r>
              <w:rPr>
                <w:rFonts w:ascii="Times New Roman" w:hAnsi="Times New Roman" w:cs="Times New Roman" w:eastAsia="標楷體"/>
                <w:b w:val="0"/>
                <w:color w:val="000000"/>
                <w:sz w:val="17"/>
              </w:rPr>
              <w:t>SOC jitter under noise</w:t>
            </w:r>
          </w:p>
        </w:tc>
        <w:tc>
          <w:tcPr>
            <w:tcW w:type="dxa" w:w="1077"/>
          </w:tcPr>
          <w:p>
            <w:pPr>
              <w:keepNext w:val="0"/>
              <w:spacing w:lineRule="exact" w:line="230" w:after="0" w:before="0"/>
              <w:jc w:val="center"/>
            </w:pPr>
            <w:r/>
            <w:r>
              <w:rPr>
                <w:rFonts w:ascii="Times New Roman" w:hAnsi="Times New Roman" w:cs="Times New Roman" w:eastAsia="標楷體"/>
                <w:b w:val="0"/>
                <w:color w:val="000000"/>
                <w:sz w:val="17"/>
              </w:rPr>
              <w:t>&lt;=0.054%</w:t>
            </w:r>
          </w:p>
        </w:tc>
        <w:tc>
          <w:tcPr>
            <w:tcW w:type="dxa" w:w="1304"/>
          </w:tcPr>
          <w:p>
            <w:pPr>
              <w:keepNext w:val="0"/>
              <w:spacing w:lineRule="exact" w:line="230" w:after="0" w:before="0"/>
              <w:jc w:val="center"/>
            </w:pPr>
            <w:r/>
            <w:r>
              <w:rPr>
                <w:rFonts w:ascii="Times New Roman" w:hAnsi="Times New Roman" w:cs="Times New Roman" w:eastAsia="標楷體"/>
                <w:b w:val="0"/>
                <w:color w:val="000000"/>
                <w:sz w:val="17"/>
              </w:rPr>
              <w:t>&lt;=0.27% (bounded)</w:t>
            </w:r>
          </w:p>
        </w:tc>
        <w:tc>
          <w:tcPr>
            <w:tcW w:type="dxa" w:w="1361"/>
          </w:tcPr>
          <w:p>
            <w:pPr>
              <w:keepNext w:val="0"/>
              <w:spacing w:lineRule="exact" w:line="230" w:after="0" w:before="0"/>
              <w:jc w:val="center"/>
            </w:pPr>
            <w:r/>
            <w:r>
              <w:rPr>
                <w:rFonts w:ascii="Times New Roman" w:hAnsi="Times New Roman" w:cs="Times New Roman" w:eastAsia="標楷體"/>
                <w:b w:val="0"/>
                <w:color w:val="000000"/>
                <w:sz w:val="17"/>
              </w:rPr>
              <w:t>~53% (branch flip)</w:t>
            </w:r>
          </w:p>
        </w:tc>
      </w:tr>
    </w:tbl>
    <w:p>
      <w:pPr>
        <w:spacing w:lineRule="exact" w:line="120" w:before="0" w:after="80"/>
        <w:jc w:val="both"/>
      </w:pPr>
    </w:p>
    <w:p>
      <w:pPr>
        <w:keepNext/>
        <w:spacing w:lineRule="exact" w:line="360" w:before="120" w:after="60"/>
        <w:jc w:val="left"/>
      </w:pPr>
      <w:r>
        <w:rPr>
          <w:rFonts w:ascii="Times New Roman" w:hAnsi="Times New Roman" w:cs="Times New Roman" w:eastAsia="標楷體"/>
          <w:b/>
          <w:i w:val="0"/>
          <w:color w:val="000000"/>
          <w:sz w:val="22"/>
        </w:rPr>
        <w:t>4.4  Embedded footprint</w:t>
      </w:r>
    </w:p>
    <w:p>
      <w:pPr>
        <w:spacing w:lineRule="exact" w:line="360" w:before="0" w:after="0"/>
        <w:jc w:val="both"/>
      </w:pPr>
      <w:r>
        <w:rPr>
          <w:rFonts w:ascii="Times New Roman" w:hAnsi="Times New Roman" w:cs="Times New Roman" w:eastAsia="標楷體"/>
          <w:b w:val="0"/>
          <w:i w:val="0"/>
          <w:color w:val="000000"/>
          <w:sz w:val="20"/>
        </w:rPr>
        <w:t>Table 3 reports the extra Flash, RAM and per-update cycles each method adds over the shared skeleton on an STM32G071 at 64 MHz (-Og, software floating point). The EKF costs about 50x the compute of Coulomb counting, yet at 237 us its update is only 0.024% of the 1-second budget. Thus "EKF is too heavy" does not hold at this MCU tier; the resource argument only becomes decisive on lower-end platforms or at much higher update rates.</w:t>
      </w:r>
    </w:p>
    <w:p>
      <w:pPr>
        <w:keepNext/>
        <w:spacing w:lineRule="exact" w:line="240" w:before="100" w:after="40"/>
        <w:jc w:val="left"/>
      </w:pPr>
      <w:r>
        <w:rPr>
          <w:rFonts w:ascii="Times New Roman" w:hAnsi="Times New Roman" w:cs="Times New Roman" w:eastAsia="標楷體"/>
          <w:b/>
          <w:i w:val="0"/>
          <w:color w:val="000000"/>
          <w:sz w:val="18"/>
        </w:rPr>
        <w:t>Table 3.  Embedded resource cost, measured as the difference against the shared firmware skeleton (medians over ~159,300 updates).</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cantSplit/>
        </w:trPr>
        <w:tc>
          <w:tcPr>
            <w:tcW w:type="dxa" w:w="1701"/>
            <w:shd w:val="clear" w:fill="DCE6F4"/>
          </w:tcPr>
          <w:p>
            <w:pPr>
              <w:keepNext/>
              <w:spacing w:lineRule="exact" w:line="230" w:after="0" w:before="0"/>
              <w:jc w:val="center"/>
            </w:pPr>
            <w:r/>
            <w:r>
              <w:rPr>
                <w:rFonts w:ascii="Times New Roman" w:hAnsi="Times New Roman" w:cs="Times New Roman" w:eastAsia="標楷體"/>
                <w:b/>
                <w:color w:val="000000"/>
                <w:sz w:val="17"/>
              </w:rPr>
              <w:t>Method</w:t>
            </w:r>
          </w:p>
        </w:tc>
        <w:tc>
          <w:tcPr>
            <w:tcW w:type="dxa" w:w="907"/>
            <w:shd w:val="clear" w:fill="DCE6F4"/>
          </w:tcPr>
          <w:p>
            <w:pPr>
              <w:keepNext/>
              <w:spacing w:lineRule="exact" w:line="230" w:after="0" w:before="0"/>
              <w:jc w:val="center"/>
            </w:pPr>
            <w:r/>
            <w:r>
              <w:rPr>
                <w:rFonts w:ascii="Times New Roman" w:hAnsi="Times New Roman" w:cs="Times New Roman" w:eastAsia="標楷體"/>
                <w:b/>
                <w:color w:val="000000"/>
                <w:sz w:val="17"/>
              </w:rPr>
              <w:t>Flash (B)</w:t>
            </w:r>
          </w:p>
        </w:tc>
        <w:tc>
          <w:tcPr>
            <w:tcW w:type="dxa" w:w="794"/>
            <w:shd w:val="clear" w:fill="DCE6F4"/>
          </w:tcPr>
          <w:p>
            <w:pPr>
              <w:keepNext/>
              <w:spacing w:lineRule="exact" w:line="230" w:after="0" w:before="0"/>
              <w:jc w:val="center"/>
            </w:pPr>
            <w:r/>
            <w:r>
              <w:rPr>
                <w:rFonts w:ascii="Times New Roman" w:hAnsi="Times New Roman" w:cs="Times New Roman" w:eastAsia="標楷體"/>
                <w:b/>
                <w:color w:val="000000"/>
                <w:sz w:val="17"/>
              </w:rPr>
              <w:t>RAM (B)</w:t>
            </w:r>
          </w:p>
        </w:tc>
        <w:tc>
          <w:tcPr>
            <w:tcW w:type="dxa" w:w="1304"/>
            <w:shd w:val="clear" w:fill="DCE6F4"/>
          </w:tcPr>
          <w:p>
            <w:pPr>
              <w:keepNext/>
              <w:spacing w:lineRule="exact" w:line="230" w:after="0" w:before="0"/>
              <w:jc w:val="center"/>
            </w:pPr>
            <w:r/>
            <w:r>
              <w:rPr>
                <w:rFonts w:ascii="Times New Roman" w:hAnsi="Times New Roman" w:cs="Times New Roman" w:eastAsia="標楷體"/>
                <w:b/>
                <w:color w:val="000000"/>
                <w:sz w:val="17"/>
              </w:rPr>
              <w:t>Cycles/update</w:t>
            </w:r>
          </w:p>
        </w:tc>
        <w:tc>
          <w:tcPr>
            <w:tcW w:type="dxa" w:w="794"/>
            <w:shd w:val="clear" w:fill="DCE6F4"/>
          </w:tcPr>
          <w:p>
            <w:pPr>
              <w:keepNext/>
              <w:spacing w:lineRule="exact" w:line="230" w:after="0" w:before="0"/>
              <w:jc w:val="center"/>
            </w:pPr>
            <w:r/>
            <w:r>
              <w:rPr>
                <w:rFonts w:ascii="Times New Roman" w:hAnsi="Times New Roman" w:cs="Times New Roman" w:eastAsia="標楷體"/>
                <w:b/>
                <w:color w:val="000000"/>
                <w:sz w:val="17"/>
              </w:rPr>
              <w:t>FPU</w:t>
            </w:r>
          </w:p>
        </w:tc>
      </w:tr>
      <w:tr>
        <w:trPr>
          <w:cantSplit/>
        </w:trPr>
        <w:tc>
          <w:tcPr>
            <w:tcW w:type="dxa" w:w="1701"/>
          </w:tcPr>
          <w:p>
            <w:pPr>
              <w:keepNext/>
              <w:spacing w:lineRule="exact" w:line="230" w:after="0" w:before="0"/>
              <w:jc w:val="left"/>
            </w:pPr>
            <w:r/>
            <w:r>
              <w:rPr>
                <w:rFonts w:ascii="Times New Roman" w:hAnsi="Times New Roman" w:cs="Times New Roman" w:eastAsia="標楷體"/>
                <w:b w:val="0"/>
                <w:color w:val="000000"/>
                <w:sz w:val="17"/>
              </w:rPr>
              <w:t>Coulomb</w:t>
            </w:r>
          </w:p>
        </w:tc>
        <w:tc>
          <w:tcPr>
            <w:tcW w:type="dxa" w:w="907"/>
          </w:tcPr>
          <w:p>
            <w:pPr>
              <w:keepNext/>
              <w:spacing w:lineRule="exact" w:line="230" w:after="0" w:before="0"/>
              <w:jc w:val="center"/>
            </w:pPr>
            <w:r/>
            <w:r>
              <w:rPr>
                <w:rFonts w:ascii="Times New Roman" w:hAnsi="Times New Roman" w:cs="Times New Roman" w:eastAsia="標楷體"/>
                <w:b w:val="0"/>
                <w:color w:val="000000"/>
                <w:sz w:val="17"/>
              </w:rPr>
              <w:t>+1,892</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+24</w:t>
            </w:r>
          </w:p>
        </w:tc>
        <w:tc>
          <w:tcPr>
            <w:tcW w:type="dxa" w:w="1304"/>
          </w:tcPr>
          <w:p>
            <w:pPr>
              <w:keepNext/>
              <w:spacing w:lineRule="exact" w:line="230" w:after="0" w:before="0"/>
              <w:jc w:val="center"/>
            </w:pPr>
            <w:r/>
            <w:r>
              <w:rPr>
                <w:rFonts w:ascii="Times New Roman" w:hAnsi="Times New Roman" w:cs="Times New Roman" w:eastAsia="標楷體"/>
                <w:b w:val="0"/>
                <w:color w:val="000000"/>
                <w:sz w:val="17"/>
              </w:rPr>
              <w:t>305 (4.8 us)</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no</w:t>
            </w:r>
          </w:p>
        </w:tc>
      </w:tr>
      <w:tr>
        <w:trPr>
          <w:cantSplit/>
        </w:trPr>
        <w:tc>
          <w:tcPr>
            <w:tcW w:type="dxa" w:w="1701"/>
          </w:tcPr>
          <w:p>
            <w:pPr>
              <w:keepNext/>
              <w:spacing w:lineRule="exact" w:line="230" w:after="0" w:before="0"/>
              <w:jc w:val="left"/>
            </w:pPr>
            <w:r/>
            <w:r>
              <w:rPr>
                <w:rFonts w:ascii="Times New Roman" w:hAnsi="Times New Roman" w:cs="Times New Roman" w:eastAsia="標楷體"/>
                <w:b w:val="0"/>
                <w:color w:val="000000"/>
                <w:sz w:val="17"/>
              </w:rPr>
              <w:t>EKF</w:t>
            </w:r>
          </w:p>
        </w:tc>
        <w:tc>
          <w:tcPr>
            <w:tcW w:type="dxa" w:w="907"/>
          </w:tcPr>
          <w:p>
            <w:pPr>
              <w:keepNext/>
              <w:spacing w:lineRule="exact" w:line="230" w:after="0" w:before="0"/>
              <w:jc w:val="center"/>
            </w:pPr>
            <w:r/>
            <w:r>
              <w:rPr>
                <w:rFonts w:ascii="Times New Roman" w:hAnsi="Times New Roman" w:cs="Times New Roman" w:eastAsia="標楷體"/>
                <w:b w:val="0"/>
                <w:color w:val="000000"/>
                <w:sz w:val="17"/>
              </w:rPr>
              <w:t>+2,336</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+40</w:t>
            </w:r>
          </w:p>
        </w:tc>
        <w:tc>
          <w:tcPr>
            <w:tcW w:type="dxa" w:w="1304"/>
          </w:tcPr>
          <w:p>
            <w:pPr>
              <w:keepNext/>
              <w:spacing w:lineRule="exact" w:line="230" w:after="0" w:before="0"/>
              <w:jc w:val="center"/>
            </w:pPr>
            <w:r/>
            <w:r>
              <w:rPr>
                <w:rFonts w:ascii="Times New Roman" w:hAnsi="Times New Roman" w:cs="Times New Roman" w:eastAsia="標楷體"/>
                <w:b w:val="0"/>
                <w:color w:val="000000"/>
                <w:sz w:val="17"/>
              </w:rPr>
              <w:t>15,187 (237 us)</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soft</w:t>
            </w:r>
          </w:p>
        </w:tc>
      </w:tr>
      <w:tr>
        <w:trPr>
          <w:cantSplit/>
        </w:trPr>
        <w:tc>
          <w:tcPr>
            <w:tcW w:type="dxa" w:w="1701"/>
          </w:tcPr>
          <w:p>
            <w:pPr>
              <w:keepNext/>
              <w:spacing w:lineRule="exact" w:line="230" w:after="0" w:before="0"/>
              <w:jc w:val="left"/>
            </w:pPr>
            <w:r/>
            <w:r>
              <w:rPr>
                <w:rFonts w:ascii="Times New Roman" w:hAnsi="Times New Roman" w:cs="Times New Roman" w:eastAsia="標楷體"/>
                <w:b w:val="0"/>
                <w:color w:val="000000"/>
                <w:sz w:val="17"/>
              </w:rPr>
              <w:t>Dyn. imp. (no event)</w:t>
            </w:r>
          </w:p>
        </w:tc>
        <w:tc>
          <w:tcPr>
            <w:tcW w:type="dxa" w:w="907"/>
          </w:tcPr>
          <w:p>
            <w:pPr>
              <w:keepNext/>
              <w:spacing w:lineRule="exact" w:line="230" w:after="0" w:before="0"/>
              <w:jc w:val="center"/>
            </w:pPr>
            <w:r/>
            <w:r>
              <w:rPr>
                <w:rFonts w:ascii="Times New Roman" w:hAnsi="Times New Roman" w:cs="Times New Roman" w:eastAsia="標楷體"/>
                <w:b w:val="0"/>
                <w:color w:val="000000"/>
                <w:sz w:val="17"/>
              </w:rPr>
              <w:t>+1,540</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+48</w:t>
            </w:r>
          </w:p>
        </w:tc>
        <w:tc>
          <w:tcPr>
            <w:tcW w:type="dxa" w:w="1304"/>
          </w:tcPr>
          <w:p>
            <w:pPr>
              <w:keepNext/>
              <w:spacing w:lineRule="exact" w:line="230" w:after="0" w:before="0"/>
              <w:jc w:val="center"/>
            </w:pPr>
            <w:r/>
            <w:r>
              <w:rPr>
                <w:rFonts w:ascii="Times New Roman" w:hAnsi="Times New Roman" w:cs="Times New Roman" w:eastAsia="標楷體"/>
                <w:b w:val="0"/>
                <w:color w:val="000000"/>
                <w:sz w:val="17"/>
              </w:rPr>
              <w:t>442 (6.9 us)</w:t>
            </w:r>
          </w:p>
        </w:tc>
        <w:tc>
          <w:tcPr>
            <w:tcW w:type="dxa" w:w="794"/>
          </w:tcPr>
          <w:p>
            <w:pPr>
              <w:keepNext/>
              <w:spacing w:lineRule="exact" w:line="230" w:after="0" w:before="0"/>
              <w:jc w:val="center"/>
            </w:pPr>
            <w:r/>
            <w:r>
              <w:rPr>
                <w:rFonts w:ascii="Times New Roman" w:hAnsi="Times New Roman" w:cs="Times New Roman" w:eastAsia="標楷體"/>
                <w:b w:val="0"/>
                <w:color w:val="000000"/>
                <w:sz w:val="17"/>
              </w:rPr>
              <w:t>soft</w:t>
            </w:r>
          </w:p>
        </w:tc>
      </w:tr>
      <w:tr>
        <w:trPr>
          <w:cantSplit/>
        </w:trPr>
        <w:tc>
          <w:tcPr>
            <w:tcW w:type="dxa" w:w="1701"/>
          </w:tcPr>
          <w:p>
            <w:pPr>
              <w:keepNext w:val="0"/>
              <w:spacing w:lineRule="exact" w:line="230" w:after="0" w:before="0"/>
              <w:jc w:val="left"/>
            </w:pPr>
            <w:r/>
            <w:r>
              <w:rPr>
                <w:rFonts w:ascii="Times New Roman" w:hAnsi="Times New Roman" w:cs="Times New Roman" w:eastAsia="標楷體"/>
                <w:b w:val="0"/>
                <w:color w:val="000000"/>
                <w:sz w:val="17"/>
              </w:rPr>
              <w:t>Dyn. imp. (event)</w:t>
            </w:r>
          </w:p>
        </w:tc>
        <w:tc>
          <w:tcPr>
            <w:tcW w:type="dxa" w:w="907"/>
          </w:tcPr>
          <w:p>
            <w:pPr>
              <w:keepNext w:val="0"/>
              <w:spacing w:lineRule="exact" w:line="230" w:after="0" w:before="0"/>
              <w:jc w:val="center"/>
            </w:pPr>
            <w:r/>
            <w:r>
              <w:rPr>
                <w:rFonts w:ascii="Times New Roman" w:hAnsi="Times New Roman" w:cs="Times New Roman" w:eastAsia="標楷體"/>
                <w:b w:val="0"/>
                <w:color w:val="000000"/>
                <w:sz w:val="17"/>
              </w:rPr>
              <w:t>same</w:t>
            </w:r>
          </w:p>
        </w:tc>
        <w:tc>
          <w:tcPr>
            <w:tcW w:type="dxa" w:w="794"/>
          </w:tcPr>
          <w:p>
            <w:pPr>
              <w:keepNext w:val="0"/>
              <w:spacing w:lineRule="exact" w:line="230" w:after="0" w:before="0"/>
              <w:jc w:val="center"/>
            </w:pPr>
            <w:r/>
            <w:r>
              <w:rPr>
                <w:rFonts w:ascii="Times New Roman" w:hAnsi="Times New Roman" w:cs="Times New Roman" w:eastAsia="標楷體"/>
                <w:b w:val="0"/>
                <w:color w:val="000000"/>
                <w:sz w:val="17"/>
              </w:rPr>
              <w:t>same</w:t>
            </w:r>
          </w:p>
        </w:tc>
        <w:tc>
          <w:tcPr>
            <w:tcW w:type="dxa" w:w="1304"/>
          </w:tcPr>
          <w:p>
            <w:pPr>
              <w:keepNext w:val="0"/>
              <w:spacing w:lineRule="exact" w:line="230" w:after="0" w:before="0"/>
              <w:jc w:val="center"/>
            </w:pPr>
            <w:r/>
            <w:r>
              <w:rPr>
                <w:rFonts w:ascii="Times New Roman" w:hAnsi="Times New Roman" w:cs="Times New Roman" w:eastAsia="標楷體"/>
                <w:b w:val="0"/>
                <w:color w:val="000000"/>
                <w:sz w:val="17"/>
              </w:rPr>
              <w:t>6,525 (102 us)</w:t>
            </w:r>
          </w:p>
        </w:tc>
        <w:tc>
          <w:tcPr>
            <w:tcW w:type="dxa" w:w="794"/>
          </w:tcPr>
          <w:p>
            <w:pPr>
              <w:keepNext w:val="0"/>
              <w:spacing w:lineRule="exact" w:line="230" w:after="0" w:before="0"/>
              <w:jc w:val="center"/>
            </w:pPr>
            <w:r/>
            <w:r>
              <w:rPr>
                <w:rFonts w:ascii="Times New Roman" w:hAnsi="Times New Roman" w:cs="Times New Roman" w:eastAsia="標楷體"/>
                <w:b w:val="0"/>
                <w:color w:val="000000"/>
                <w:sz w:val="17"/>
              </w:rPr>
              <w:t>soft</w:t>
            </w:r>
          </w:p>
        </w:tc>
      </w:tr>
    </w:tbl>
    <w:p>
      <w:pPr>
        <w:spacing w:lineRule="exact" w:line="120" w:before="0" w:after="80"/>
        <w:jc w:val="both"/>
      </w:pPr>
    </w:p>
    <w:p>
      <w:pPr>
        <w:keepNext/>
        <w:spacing w:lineRule="exact" w:line="360" w:before="180" w:after="80"/>
        <w:jc w:val="left"/>
      </w:pPr>
      <w:r>
        <w:rPr>
          <w:rFonts w:ascii="Times New Roman" w:hAnsi="Times New Roman" w:cs="Times New Roman" w:eastAsia="標楷體"/>
          <w:b/>
          <w:i w:val="0"/>
          <w:color w:val="000000"/>
          <w:sz w:val="24"/>
        </w:rPr>
        <w:t>5.  Conclusions</w:t>
      </w:r>
    </w:p>
    <w:p>
      <w:pPr>
        <w:spacing w:lineRule="exact" w:line="360" w:before="0" w:after="0"/>
        <w:jc w:val="both"/>
      </w:pPr>
      <w:r>
        <w:rPr>
          <w:rFonts w:ascii="Times New Roman" w:hAnsi="Times New Roman" w:cs="Times New Roman" w:eastAsia="標楷體"/>
          <w:b w:val="0"/>
          <w:i w:val="0"/>
          <w:color w:val="000000"/>
          <w:sz w:val="20"/>
        </w:rPr>
        <w:t>On a single embedded platform with identical cell, protocol and MCU, this work implemented and fairly compared three SOC estimation methods. Three findings stand out. First, the EKF is the most accurate (0.22-0.90%, below 1% at all rates), Coulomb counting is a stable middle (1.7-2.0%), and impedance-only online inversion is infeasible (23-31%) for a flat Z-SOC cell; the accuracy ordering spans an order of magnitude and every error source is traced. Second, the resource ladder is quantified: the EKF costs about 50x Coulomb counting but still only 237 us per update, so it is not "too heavy" at this tier. Third, and most important, measurement-domain consistency dominates algorithm choice - parameters and tables built in a domain different from deployment fail systematically, as proven by the independent re-measurement that took the EKF from 4.48% to below 1%. Dynamic impedance remaining infeasible even after domain correction further shows that feasibility is set jointly by cell characteristics and the measurement chain, not by the algorithm alone. The reproducible fair-comparison platform is the main contribution; future work extends it to SOH estimation, temperature compensation [10] and LFP hysteresis [11].</w:t>
      </w:r>
    </w:p>
    <w:p>
      <w:pPr>
        <w:keepNext/>
        <w:spacing w:lineRule="exact" w:line="360" w:before="180" w:after="80"/>
        <w:jc w:val="left"/>
      </w:pPr>
      <w:r>
        <w:rPr>
          <w:rFonts w:ascii="Times New Roman" w:hAnsi="Times New Roman" w:cs="Times New Roman" w:eastAsia="標楷體"/>
          <w:b/>
          <w:i w:val="0"/>
          <w:color w:val="000000"/>
          <w:sz w:val="24"/>
        </w:rPr>
        <w:t>6.  References</w:t>
      </w:r>
    </w:p>
    <w:p>
      <w:pPr>
        <w:spacing w:lineRule="exact" w:line="260" w:before="0" w:after="40"/>
        <w:ind w:left="397" w:hanging="397"/>
        <w:jc w:val="both"/>
      </w:pPr>
      <w:r>
        <w:rPr>
          <w:rFonts w:ascii="Times New Roman" w:hAnsi="Times New Roman" w:cs="Times New Roman" w:eastAsia="標楷體"/>
          <w:b w:val="0"/>
          <w:i w:val="0"/>
          <w:color w:val="000000"/>
          <w:sz w:val="19"/>
        </w:rPr>
        <w:t>[1]  C.-H. Lin, C.-M. Wang, and C.-Y. Ho, "Implementation of state-of-charge and state-of-health estimation for lithium-ion batteries," in Proc. IECON 2016, Florence, Italy, Oct. 2016, pp. 18-24.</w:t>
      </w:r>
    </w:p>
    <w:p>
      <w:pPr>
        <w:spacing w:lineRule="exact" w:line="260" w:before="0" w:after="40"/>
        <w:ind w:left="397" w:hanging="397"/>
        <w:jc w:val="both"/>
      </w:pPr>
      <w:r>
        <w:rPr>
          <w:rFonts w:ascii="Times New Roman" w:hAnsi="Times New Roman" w:cs="Times New Roman" w:eastAsia="標楷體"/>
          <w:b w:val="0"/>
          <w:i w:val="0"/>
          <w:color w:val="000000"/>
          <w:sz w:val="19"/>
        </w:rPr>
        <w:t>[2]  A. Hasan, M. Skriver, and T. A. Johansen, "eXogenous Kalman filter for lithium-ion batteries state-of-charge estimation in electric vehicles," arXiv:1810.09014, 2018.</w:t>
      </w:r>
    </w:p>
    <w:p>
      <w:pPr>
        <w:spacing w:lineRule="exact" w:line="260" w:before="0" w:after="40"/>
        <w:ind w:left="397" w:hanging="397"/>
        <w:jc w:val="both"/>
      </w:pPr>
      <w:r>
        <w:rPr>
          <w:rFonts w:ascii="Times New Roman" w:hAnsi="Times New Roman" w:cs="Times New Roman" w:eastAsia="標楷體"/>
          <w:b w:val="0"/>
          <w:i w:val="0"/>
          <w:color w:val="000000"/>
          <w:sz w:val="19"/>
        </w:rPr>
        <w:t>[3]  A. Barros et al., "Adaptive extended Kalman filtering for battery state of charge estimation on STM32," arXiv:2504.05936, 2025.</w:t>
      </w:r>
    </w:p>
    <w:p>
      <w:pPr>
        <w:spacing w:lineRule="exact" w:line="260" w:before="0" w:after="40"/>
        <w:ind w:left="397" w:hanging="397"/>
        <w:jc w:val="both"/>
      </w:pPr>
      <w:r>
        <w:rPr>
          <w:rFonts w:ascii="Times New Roman" w:hAnsi="Times New Roman" w:cs="Times New Roman" w:eastAsia="標楷體"/>
          <w:b w:val="0"/>
          <w:i w:val="0"/>
          <w:color w:val="000000"/>
          <w:sz w:val="19"/>
        </w:rPr>
        <w:t>[4]  K. Movassagh, S. A. Raihan, B. Balasingam, and K. Pattipati, "A critical look at Coulomb counting towards improving the Kalman-filter-based state-of-charge tracking algorithms in rechargeable batteries," arXiv:2101.05435, 2021.</w:t>
      </w:r>
    </w:p>
    <w:p>
      <w:pPr>
        <w:spacing w:lineRule="exact" w:line="260" w:before="0" w:after="40"/>
        <w:ind w:left="397" w:hanging="397"/>
        <w:jc w:val="both"/>
      </w:pPr>
      <w:r>
        <w:rPr>
          <w:rFonts w:ascii="Times New Roman" w:hAnsi="Times New Roman" w:cs="Times New Roman" w:eastAsia="標楷體"/>
          <w:b w:val="0"/>
          <w:i w:val="0"/>
          <w:color w:val="000000"/>
          <w:sz w:val="19"/>
        </w:rPr>
        <w:t>[5]  I. Baccouche et al., "Implementation of an improved Coulomb-counting algorithm based on a piecewise SOC-OCV relationship for SOC estimation of Li-ion battery," arXiv:1803.10654, 2018.</w:t>
      </w:r>
    </w:p>
    <w:p>
      <w:pPr>
        <w:spacing w:lineRule="exact" w:line="260" w:before="0" w:after="40"/>
        <w:ind w:left="397" w:hanging="397"/>
        <w:jc w:val="both"/>
      </w:pPr>
      <w:r>
        <w:rPr>
          <w:rFonts w:ascii="Times New Roman" w:hAnsi="Times New Roman" w:cs="Times New Roman" w:eastAsia="標楷體"/>
          <w:b w:val="0"/>
          <w:i w:val="0"/>
          <w:color w:val="000000"/>
          <w:sz w:val="19"/>
        </w:rPr>
        <w:t>[6]  S. Zhao and D. A. Howey, "Global sensitivity analysis of battery equivalent circuit model parameters," arXiv:1604.01293, 2016.</w:t>
      </w:r>
    </w:p>
    <w:p>
      <w:pPr>
        <w:spacing w:lineRule="exact" w:line="260" w:before="0" w:after="40"/>
        <w:ind w:left="397" w:hanging="397"/>
        <w:jc w:val="both"/>
      </w:pPr>
      <w:r>
        <w:rPr>
          <w:rFonts w:ascii="Times New Roman" w:hAnsi="Times New Roman" w:cs="Times New Roman" w:eastAsia="標楷體"/>
          <w:b w:val="0"/>
          <w:i w:val="0"/>
          <w:color w:val="000000"/>
          <w:sz w:val="19"/>
        </w:rPr>
        <w:t>[7]  L. D. Couto and M. Kinnaert, "Partition-based unscented Kalman filter for reconfigurable battery pack state estimation using an electrochemical model," arXiv:1709.07816, 2017.</w:t>
      </w:r>
    </w:p>
    <w:p>
      <w:pPr>
        <w:spacing w:lineRule="exact" w:line="260" w:before="0" w:after="40"/>
        <w:ind w:left="397" w:hanging="397"/>
        <w:jc w:val="both"/>
      </w:pPr>
      <w:r>
        <w:rPr>
          <w:rFonts w:ascii="Times New Roman" w:hAnsi="Times New Roman" w:cs="Times New Roman" w:eastAsia="標楷體"/>
          <w:b w:val="0"/>
          <w:i w:val="0"/>
          <w:color w:val="000000"/>
          <w:sz w:val="19"/>
        </w:rPr>
        <w:t>[8]  A. Kulkarni et al., "Novel low-complexity model development for Li-ion cells using online impedance measurement," arXiv:2402.07777, 2024.</w:t>
      </w:r>
    </w:p>
    <w:p>
      <w:pPr>
        <w:spacing w:lineRule="exact" w:line="260" w:before="0" w:after="40"/>
        <w:ind w:left="397" w:hanging="397"/>
        <w:jc w:val="both"/>
      </w:pPr>
      <w:r>
        <w:rPr>
          <w:rFonts w:ascii="Times New Roman" w:hAnsi="Times New Roman" w:cs="Times New Roman" w:eastAsia="標楷體"/>
          <w:b w:val="0"/>
          <w:i w:val="0"/>
          <w:color w:val="000000"/>
          <w:sz w:val="19"/>
        </w:rPr>
        <w:t>[9]  J. Knox, M. Blyth, and A. Hales, "Advancing state estimation for lithium-ion batteries with hysteresis: systematic extended Kalman filter tuning," arXiv:2311.16942, 2023.</w:t>
      </w:r>
    </w:p>
    <w:p>
      <w:pPr>
        <w:spacing w:lineRule="exact" w:line="260" w:before="0" w:after="40"/>
        <w:ind w:left="397" w:hanging="397"/>
        <w:jc w:val="both"/>
      </w:pPr>
      <w:r>
        <w:rPr>
          <w:rFonts w:ascii="Times New Roman" w:hAnsi="Times New Roman" w:cs="Times New Roman" w:eastAsia="標楷體"/>
          <w:b w:val="0"/>
          <w:i w:val="0"/>
          <w:color w:val="000000"/>
          <w:sz w:val="19"/>
        </w:rPr>
        <w:t>[10]  Y. Qin, S. Adams, and C. Yuen, "A transfer-learning-based state of charge estimation for lithium-ion battery at varying ambient temperatures," IEEE Trans. Ind. Informat., 2021 (arXiv:2101.03704).</w:t>
      </w:r>
    </w:p>
    <w:p>
      <w:pPr>
        <w:spacing w:lineRule="exact" w:line="260" w:before="0" w:after="40"/>
        <w:ind w:left="397" w:hanging="397"/>
        <w:jc w:val="both"/>
      </w:pPr>
      <w:r>
        <w:rPr>
          <w:rFonts w:ascii="Times New Roman" w:hAnsi="Times New Roman" w:cs="Times New Roman" w:eastAsia="標楷體"/>
          <w:b w:val="0"/>
          <w:i w:val="0"/>
          <w:color w:val="000000"/>
          <w:sz w:val="19"/>
        </w:rPr>
        <w:t>[11]  B. Yi et al., "Bias-compensated state of charge and state of health joint estimation for lithium iron phosphate batteries," arXiv:2401.08136, 2024.</w:t>
      </w:r>
    </w:p>
    <w:sectPr w:rsidR="00FC693F" w:rsidRPr="0006063C" w:rsidSect="00034616">
      <w:type w:val="continuous"/>
      <w:pgSz w:w="11906" w:h="16838"/>
      <w:pgMar w:top="1361" w:right="1077" w:bottom="1361" w:left="1304"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