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44"/>
          <w:szCs w:val="44"/>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O</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spacing w:lineRule="atLeast" w:line="440"/>
        <w:ind w:firstLine="480"/>
        <w:jc w:val="both"/>
        <w:rPr>
          <w:rFonts w:ascii="標楷體" w:eastAsia="標楷體" w:hAnsi="標楷體" w:cs="Times New Roman"/>
          <w:szCs w:val="24"/>
        </w:rPr>
      </w:pPr>
      <w:r>
        <w:rPr>
          <w:rFonts w:eastAsia="標楷體" w:ascii="Times New Roman" w:hAnsi="Times New Roman"/>
          <w:b w:val="0"/>
          <w:i w:val="0"/>
          <w:sz w:val="24"/>
        </w:rPr>
        <w:t>荷電狀態（State of Charge, SOC）估測是電池管理系統的核心機能。然而既有的 SOC 方法比較多在個人電腦或離線模擬環境中、以單一精度指標進行，鮮少在真正部署演算法的資源受限微控制器上量化各方法的精度與資源代價；且不同研究常使用不同的電池、測試協定與硬體平台，使所報告的精度缺乏可直接對比的公平基準。針對此缺口，本論文建構一套「同電池、同測試協定、同微控制器」的自動化跨輪測試平台，整合可程式直流電源、可程式電子負載、高精度電流／電壓量測晶片與自動化排程程式，可長時間無人值守地累積乾淨且可跨輪續接的測試數據；並於其上以一致的韌體規範實作庫倫計數法、擴展卡爾曼濾波器與動態阻抗法三種代表性方法，建立精度、強健性與嵌入式資源的一致量化比較框架。已完成之實測包含：電流量測經多點線性校正後全範圍誤差小於 0.21 mA；受測鋰離子電池於 0.5C 至 2.0C 之放電容量僅下降約 1%，且跨輪再現性良好；動態阻抗與 SOC 之關係經實測確認呈拋物線、最低點約在 SOC 53%，並以該擬合反推 SOC，得各放電倍率之逐點均方根誤差約 6～10%、且於 SOC 中段顯著較大，量化揭示了單獨以阻抗反推 SOC 的解析度限制，據此採用「動態阻抗離散校正搭配庫倫計數內插」的混合策略。本論文之主要貢獻在於提供一個可重現的嵌入式 SOC 估測方法公平比較平台與量化框架，作為工程實務上依精度需求與資源預算選用 SOC 演算法的量化依據。</w:t>
      </w:r>
    </w:p>
    <w:p>
      <w:pPr>
        <w:spacing w:before="160" w:lineRule="atLeast" w:line="440"/>
        <w:jc w:val="left"/>
      </w:pPr>
      <w:r>
        <w:rPr>
          <w:rFonts w:eastAsia="標楷體" w:ascii="Times New Roman" w:hAnsi="Times New Roman"/>
          <w:b w:val="0"/>
          <w:i w:val="0"/>
          <w:sz w:val="24"/>
        </w:rPr>
        <w:t>關鍵詞：鋰離子電池、荷電狀態估測、庫倫計數、擴展卡爾曼濾波器、動態阻抗法、嵌入式系統</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spacing w:lineRule="atLeast" w:line="440"/>
        <w:ind w:firstLine="480"/>
        <w:jc w:val="both"/>
        <w:rPr>
          <w:rFonts w:ascii="Times New Roman" w:hAnsi="Times New Roman" w:cs="Times New Roman"/>
          <w:szCs w:val="24"/>
        </w:rPr>
      </w:pPr>
      <w:r>
        <w:rPr>
          <w:rFonts w:eastAsia="標楷體" w:ascii="Times New Roman" w:hAnsi="Times New Roman"/>
          <w:b w:val="0"/>
          <w:i w:val="0"/>
          <w:sz w:val="24"/>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pPr>
        <w:spacing w:before="160" w:lineRule="atLeast" w:line="440"/>
        <w:jc w:val="left"/>
      </w:pPr>
      <w:r>
        <w:rPr>
          <w:rFonts w:eastAsia="標楷體" w:ascii="Times New Roman" w:hAnsi="Times New Roman"/>
          <w:b w:val="0"/>
          <w:i w:val="0"/>
          <w:sz w:val="24"/>
        </w:rPr>
        <w:t>Keywords: lithium-ion battery, state of charge estimation, Coulomb counting, extended Kalman filter, dynamic impedance method, embedded system</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pPr>
        <w:spacing w:line="480" w:lineRule="exact"/>
        <w:ind w:firstLine="480"/>
        <w:jc w:val="both"/>
      </w:pPr>
      <w:r>
        <w:rPr>
          <w:rFonts w:ascii="Times New Roman" w:hAnsi="Times New Roman" w:eastAsia="標楷體"/>
          <w:b w:val="0"/>
          <w:sz w:val="24"/>
        </w:rPr>
        <w:t>本論文得以順利完成，首先要衷心感謝指導教授 ○○○ 博士。從研究題目的選定、實驗平台的規劃，到論文的撰寫與反覆修改，老師均給予悉心的指導與啟發，使我在專業知識與研究態度上獲益良多，謹致上最誠摯的謝意。</w:t>
      </w:r>
    </w:p>
    <w:p>
      <w:pPr>
        <w:spacing w:line="480" w:lineRule="exact"/>
        <w:ind w:firstLine="480"/>
        <w:jc w:val="both"/>
      </w:pPr>
      <w:r>
        <w:rPr>
          <w:rFonts w:ascii="Times New Roman" w:hAnsi="Times New Roman" w:eastAsia="標楷體"/>
          <w:b w:val="0"/>
          <w:sz w:val="24"/>
        </w:rPr>
        <w:t>亦感謝口試委員 ○○○ 教授與 ○○○ 教授，於百忙之中撥冗審閱本論文，並惠賜諸多寶貴意見與指正，使本論文之內容與架構得以更臻完善。</w:t>
      </w:r>
    </w:p>
    <w:p>
      <w:pPr>
        <w:spacing w:line="480" w:lineRule="exact"/>
        <w:ind w:firstLine="480"/>
        <w:jc w:val="both"/>
      </w:pPr>
      <w:r>
        <w:rPr>
          <w:rFonts w:ascii="Times New Roman" w:hAnsi="Times New Roman" w:eastAsia="標楷體"/>
          <w:b w:val="0"/>
          <w:sz w:val="24"/>
        </w:rPr>
        <w:t>感謝實驗室的學長姐、同學與學弟妹，在這段研究期間於課業、實驗與儀器量測上的相互砥礪與協助，以及生活中的陪伴與鼓勵，讓這段研究歷程充實而難忘。</w:t>
      </w:r>
    </w:p>
    <w:p>
      <w:pPr>
        <w:spacing w:line="480" w:lineRule="exact"/>
        <w:ind w:firstLine="480"/>
        <w:jc w:val="both"/>
      </w:pPr>
      <w:r>
        <w:rPr>
          <w:rFonts w:ascii="Times New Roman" w:hAnsi="Times New Roman" w:eastAsia="標楷體"/>
          <w:b w:val="0"/>
          <w:sz w:val="24"/>
        </w:rPr>
        <w:t>最後，僅將本論文獻給我摯愛的家人，感謝你們長久以來無條件的支持與包容，讓我得以無後顧之憂地專注於學業，完成此一階段的里程碑。</w:t>
      </w:r>
    </w:p>
    <w:p>
      <w:pPr>
        <w:spacing w:line="480" w:lineRule="exact"/>
        <w:jc w:val="right"/>
      </w:pPr>
      <w:r>
        <w:rPr>
          <w:rFonts w:ascii="Times New Roman" w:hAnsi="Times New Roman" w:eastAsia="標楷體"/>
          <w:b w:val="0"/>
          <w:sz w:val="24"/>
        </w:rPr>
        <w:t>○○○　謹誌於中原大學</w:t>
      </w:r>
    </w:p>
    <w:p>
      <w:pPr>
        <w:spacing w:line="480" w:lineRule="exact"/>
        <w:jc w:val="right"/>
      </w:pPr>
      <w:r>
        <w:rPr>
          <w:rFonts w:ascii="Times New Roman" w:hAnsi="Times New Roman" w:eastAsia="標楷體"/>
          <w:b w:val="0"/>
          <w:sz w:val="24"/>
        </w:rPr>
        <w:t>中華民國 115 年 ○ 月</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pPr>
        <w:pStyle w:val="1"/>
      </w:pPr>
      <w:r>
        <w:rPr>
          <w:rFonts w:ascii="Times New Roman" w:hAnsi="Times New Roman" w:eastAsia="標楷體"/>
          <w:b/>
          <w:sz w:val="32"/>
          <w:color w:val="000000"/>
        </w:rPr>
        <w:t>第一章　緒論</w:t>
      </w:r>
    </w:p>
    <w:p>
      <w:pPr>
        <w:spacing w:before="240" w:after="120" w:lineRule="atLeast" w:line="360"/>
        <w:jc w:val="left"/>
      </w:pPr>
      <w:r>
        <w:rPr>
          <w:rFonts w:eastAsia="標楷體" w:ascii="Times New Roman" w:hAnsi="Times New Roman"/>
          <w:b/>
          <w:i w:val="0"/>
          <w:sz w:val="28"/>
        </w:rPr>
        <w:t>1.1 研究背景</w:t>
      </w:r>
    </w:p>
    <w:p>
      <w:pPr>
        <w:spacing w:lineRule="atLeast" w:line="480"/>
        <w:ind w:firstLine="480"/>
        <w:jc w:val="both"/>
      </w:pPr>
      <w:r>
        <w:rPr>
          <w:rFonts w:eastAsia="標楷體" w:ascii="Times New Roman" w:hAnsi="Times New Roman"/>
          <w:b w:val="0"/>
          <w:i w:val="0"/>
          <w:sz w:val="24"/>
        </w:rPr>
        <w:t>近年來在淨零碳排與能源轉型的趨勢之下，鋰離子電池憑藉其高能量密度、低自放電率與長循環壽命等優勢，已成為電動車輛、可攜式電子裝置與大型儲能系統最主要的儲能元件。隨著應用規模持續擴大，電池在長期使用與深度充放電下所衍生的安全與壽命問題日益受到重視；電池若在劣化或異常狀態下持續運作，輕則加速老化、縮短使用壽命，重則引發過熱、起火甚至爆炸等公共安全事故。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i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i w:val="0"/>
          <w:sz w:val="24"/>
        </w:rPr>
        <w:t>然而，SOC 屬於電池的內部狀態，無法以任何感測器直接量測，只能透過端電壓、電流與溫度等可量測物理量間接推估 [1]。其困難之處在於，鋰離子電池本質上是一個高度非線性、時變且具有極化與遲滯特性的電化學系統：相同的端電壓在不同的電流負載、溫度與老化程度下可能對應到截然不同的真實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i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before="240" w:after="120" w:lineRule="atLeast" w:line="360"/>
        <w:jc w:val="left"/>
      </w:pPr>
      <w:r>
        <w:rPr>
          <w:rFonts w:eastAsia="標楷體" w:ascii="Times New Roman" w:hAnsi="Times New Roman"/>
          <w:b/>
          <w:i w:val="0"/>
          <w:sz w:val="28"/>
        </w:rPr>
        <w:t>1.2 研究動機</w:t>
      </w:r>
    </w:p>
    <w:p>
      <w:pPr>
        <w:spacing w:lineRule="atLeast" w:line="480"/>
        <w:ind w:firstLine="480"/>
        <w:jc w:val="both"/>
      </w:pPr>
      <w:r>
        <w:rPr>
          <w:rFonts w:eastAsia="標楷體" w:ascii="Times New Roman" w:hAnsi="Times New Roman"/>
          <w:b w:val="0"/>
          <w:i w:val="0"/>
          <w:sz w:val="24"/>
        </w:rPr>
        <w:t>針對 SOC 估測，學界與業界已提出眾多方法，大致可分為兩類：其一為直接計量法，包括以電流積分推估電量變化的庫倫計數法（Coulomb Counting）[2]，以及利用開路電壓與 SOC 對應關係的開路電壓查表法（OCV Look-up）；其二為模型基礎法，以等效電路模型搭配卡爾曼濾波器族（KF / EKF / UKF）為代表，並可進一步衍生出如動態阻抗法等以電氣特性變化量推估 SOC 的技巧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i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i w:val="0"/>
          <w:sz w:val="24"/>
        </w:rPr>
        <w:t>第二個缺口在於比較基準的不公平。既有的跨方法比較往往使用不同的電池、不同的測試協定與不同的硬體平台，使得各方法所報告的精度數字之間缺乏可直接對比的共同基準。以動態阻抗法 [1]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i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before="240" w:after="120" w:lineRule="atLeast" w:line="360"/>
        <w:jc w:val="left"/>
      </w:pPr>
      <w:r>
        <w:rPr>
          <w:rFonts w:eastAsia="標楷體" w:ascii="Times New Roman" w:hAnsi="Times New Roman"/>
          <w:b/>
          <w:i w:val="0"/>
          <w:sz w:val="28"/>
        </w:rPr>
        <w:t>1.3 研究目的與貢獻</w:t>
      </w:r>
    </w:p>
    <w:p>
      <w:pPr>
        <w:spacing w:lineRule="atLeast" w:line="480"/>
        <w:ind w:firstLine="480"/>
        <w:jc w:val="both"/>
      </w:pPr>
      <w:r>
        <w:rPr>
          <w:rFonts w:eastAsia="標楷體" w:ascii="Times New Roman" w:hAnsi="Times New Roman"/>
          <w:b w:val="0"/>
          <w:i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i w:val="0"/>
          <w:sz w:val="24"/>
        </w:rPr>
        <w:t>為達成上述目的，本論文之主要貢獻歸納為以下三點：</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自動化跨輪測試平台之設計與實作</w:t>
      </w:r>
      <w:r>
        <w:rPr>
          <w:rFonts w:eastAsia="標楷體" w:ascii="Times New Roman" w:hAnsi="Times New Roman"/>
          <w:b w:val="0"/>
          <w:i w:val="0"/>
          <w:sz w:val="24"/>
        </w:rPr>
        <w:t>：整合 STM32 微控制器、IT6302 可程式電源供應器、IT8512A+ 電子負載與 INA226 高精度電流／電壓量測晶片，搭配自動化排程程式，構成一套可長時間無人值守、跨充放電輪次自動續接的測試平台。平台並具備量測校正（INA226 多點線性內插，全範圍誤差小於 0.21 mA）與安全互鎖機制，確保長時間實驗的資料品質與設備安全。</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三種 SOC 估測方法之嵌入式實作</w:t>
      </w:r>
      <w:r>
        <w:rPr>
          <w:rFonts w:eastAsia="標楷體" w:ascii="Times New Roman" w:hAnsi="Times New Roman"/>
          <w:b w:val="0"/>
          <w:i w:val="0"/>
          <w:sz w:val="24"/>
        </w:rPr>
        <w:t>：將庫倫計數法、擴展卡爾曼濾波器與動態阻抗法依循一致的韌體規範（統一的系統節拍與模組化架構）實作於同一顆微控制器之上，使三種方法得以在完全相同的執行環境下運行，為後續的公平比較奠定基礎。</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嵌入式環境下精度與資源之量化比較</w:t>
      </w:r>
      <w:r>
        <w:rPr>
          <w:rFonts w:eastAsia="標楷體" w:ascii="Times New Roman" w:hAnsi="Times New Roman"/>
          <w:b w:val="0"/>
          <w:i w:val="0"/>
          <w:sz w:val="24"/>
        </w:rPr>
        <w:t>：在相同電池、相同測試協定與相同硬體條件下，量測三種方法的估測精度（RMSE、最大誤差、收斂時間等）與嵌入式資源佔用（程式空間、記憶體、每次更新所需運算量），建立一份對等且可重現的效能對照表，並進一步給出不同精度需求與資源預算下的方法適用情境決策表。此一公平比較基準即為本論文最主要的學術與工程貢獻。</w:t>
      </w:r>
    </w:p>
    <w:p>
      <w:pPr>
        <w:spacing w:lineRule="atLeast" w:line="480"/>
        <w:ind w:firstLine="480"/>
        <w:jc w:val="both"/>
      </w:pPr>
      <w:r>
        <w:rPr>
          <w:rFonts w:eastAsia="標楷體" w:ascii="Times New Roman" w:hAnsi="Times New Roman"/>
          <w:b w:val="0"/>
          <w:i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before="240" w:after="120" w:lineRule="atLeast" w:line="360"/>
        <w:jc w:val="left"/>
      </w:pPr>
      <w:r>
        <w:rPr>
          <w:rFonts w:eastAsia="標楷體" w:ascii="Times New Roman" w:hAnsi="Times New Roman"/>
          <w:b/>
          <w:i w:val="0"/>
          <w:sz w:val="28"/>
        </w:rPr>
        <w:t>1.4 論文架構</w:t>
      </w:r>
    </w:p>
    <w:p>
      <w:pPr>
        <w:spacing w:lineRule="atLeast" w:line="480"/>
        <w:ind w:firstLine="480"/>
        <w:jc w:val="both"/>
      </w:pPr>
      <w:r>
        <w:rPr>
          <w:rFonts w:eastAsia="標楷體" w:ascii="Times New Roman" w:hAnsi="Times New Roman"/>
          <w:b w:val="0"/>
          <w:i w:val="0"/>
          <w:sz w:val="24"/>
        </w:rPr>
        <w:t>本論文共分為六章，各章內容安排如下：</w:t>
      </w:r>
    </w:p>
    <w:p>
      <w:pPr>
        <w:spacing w:lineRule="atLeast" w:line="480"/>
        <w:ind w:firstLine="480"/>
        <w:jc w:val="both"/>
      </w:pPr>
      <w:r>
        <w:rPr>
          <w:rFonts w:eastAsia="標楷體" w:ascii="Times New Roman" w:hAnsi="Times New Roman"/>
          <w:b/>
          <w:i w:val="0"/>
          <w:sz w:val="24"/>
        </w:rPr>
        <w:t>第一章 緒論</w:t>
      </w:r>
      <w:r>
        <w:rPr>
          <w:rFonts w:eastAsia="標楷體" w:ascii="Times New Roman" w:hAnsi="Times New Roman"/>
          <w:b w:val="0"/>
          <w:i w:val="0"/>
          <w:sz w:val="24"/>
        </w:rPr>
        <w:t>：說明研究背景、動機、目的與貢獻，並界定研究範圍與限制。</w:t>
      </w:r>
    </w:p>
    <w:p>
      <w:pPr>
        <w:spacing w:lineRule="atLeast" w:line="480"/>
        <w:ind w:firstLine="480"/>
        <w:jc w:val="both"/>
      </w:pPr>
      <w:r>
        <w:rPr>
          <w:rFonts w:eastAsia="標楷體" w:ascii="Times New Roman" w:hAnsi="Times New Roman"/>
          <w:b/>
          <w:i w:val="0"/>
          <w:sz w:val="24"/>
        </w:rPr>
        <w:t>第二章 文獻回顧</w:t>
      </w:r>
      <w:r>
        <w:rPr>
          <w:rFonts w:eastAsia="標楷體" w:ascii="Times New Roman" w:hAnsi="Times New Roman"/>
          <w:b w:val="0"/>
          <w:i w:val="0"/>
          <w:sz w:val="24"/>
        </w:rPr>
        <w:t>：回顧鋰離子電池的基本原理與等效電路模型，並依分類整理庫倫計數、OCV 查表、卡爾曼濾波族與動態阻抗法等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i w:val="0"/>
          <w:sz w:val="24"/>
        </w:rPr>
        <w:t>第三章 嵌入式量測與測試平台</w:t>
      </w:r>
      <w:r>
        <w:rPr>
          <w:rFonts w:eastAsia="標楷體" w:ascii="Times New Roman" w:hAnsi="Times New Roman"/>
          <w:b w:val="0"/>
          <w:i w:val="0"/>
          <w:sz w:val="24"/>
        </w:rPr>
        <w:t>：詳述本研究所建構之自動化測試平台，包含系統架構、韌體骨架、INA226 多點校正、電源與電子負載之自動化控制，以及跨輪測試協定。</w:t>
      </w:r>
    </w:p>
    <w:p>
      <w:pPr>
        <w:spacing w:lineRule="atLeast" w:line="480"/>
        <w:ind w:firstLine="480"/>
        <w:jc w:val="both"/>
      </w:pPr>
      <w:r>
        <w:rPr>
          <w:rFonts w:eastAsia="標楷體" w:ascii="Times New Roman" w:hAnsi="Times New Roman"/>
          <w:b/>
          <w:i w:val="0"/>
          <w:sz w:val="24"/>
        </w:rPr>
        <w:t>第四章 SOC 估測方法之實作與比較</w:t>
      </w:r>
      <w:r>
        <w:rPr>
          <w:rFonts w:eastAsia="標楷體" w:ascii="Times New Roman" w:hAnsi="Times New Roman"/>
          <w:b w:val="0"/>
          <w:i w:val="0"/>
          <w:sz w:val="24"/>
        </w:rPr>
        <w:t>：本論文之核心。以「原理、演算法、嵌入式實作、實驗結果」之一致結構，分別呈現庫倫計數法、擴展卡爾曼濾波器與動態阻抗法，並從精度、強健性、嵌入式資源佔用與工程實作難度四個面向進行公平比較。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i w:val="0"/>
          <w:sz w:val="24"/>
        </w:rPr>
        <w:t>第五章 系統整合與性能評估</w:t>
      </w:r>
      <w:r>
        <w:rPr>
          <w:rFonts w:eastAsia="標楷體" w:ascii="Times New Roman" w:hAnsi="Times New Roman"/>
          <w:b w:val="0"/>
          <w:i w:val="0"/>
          <w:sz w:val="24"/>
        </w:rPr>
        <w:t>：探討三種方法並行於同一微控制器的整合策略、節拍內的運算負載分配驗證、fresh-cell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i w:val="0"/>
          <w:sz w:val="24"/>
        </w:rPr>
        <w:t>第六章 結論與未來工作</w:t>
      </w:r>
      <w:r>
        <w:rPr>
          <w:rFonts w:eastAsia="標楷體" w:ascii="Times New Roman" w:hAnsi="Times New Roman"/>
          <w:b w:val="0"/>
          <w:i w:val="0"/>
          <w:sz w:val="24"/>
        </w:rPr>
        <w:t>：總結本論文之主要貢獻，提出 SOC 方法適用情境決策表，並就單一電池、室溫與化學體系等限制，展望 SOH 估測延伸與 LFP 遲滯處理等未來研究方向。</w:t>
      </w:r>
    </w:p>
    <w:p>
      <w:pPr>
        <w:pStyle w:val="1"/>
      </w:pPr>
      <w:r>
        <w:rPr>
          <w:rFonts w:ascii="Times New Roman" w:hAnsi="Times New Roman" w:eastAsia="標楷體"/>
          <w:b/>
          <w:sz w:val="32"/>
          <w:color w:val="000000"/>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 xml:space="preserve">I · 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[1]。</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[1]。因此，多數實用的 SOC 估測方法都需要藉助一個能描述「電流如何影響端電壓動態」的電池模型，將量測到的端電壓「還原」成可用以推估 SOC 的資訊，這即是等效電路模型（Equivalent Circuit Model, ECM）的角色。本章後續討論的三種等效電路模型，其電路結構如圖 2-1 所示。</w:t>
      </w:r>
    </w:p>
    <w:p>
      <w:pPr>
        <w:spacing w:before="120" w:after="40"/>
        <w:jc w:val="center"/>
      </w:pPr>
      <w:r>
        <w:drawing>
          <wp:inline xmlns:a="http://schemas.openxmlformats.org/drawingml/2006/main" xmlns:pic="http://schemas.openxmlformats.org/drawingml/2006/picture">
            <wp:extent cx="4860000" cy="5476518"/>
            <wp:docPr id="1" name="Picture 1"/>
            <wp:cNvGraphicFramePr>
              <a:graphicFrameLocks noChangeAspect="1"/>
            </wp:cNvGraphicFramePr>
            <a:graphic>
              <a:graphicData uri="http://schemas.openxmlformats.org/drawingml/2006/picture">
                <pic:pic>
                  <pic:nvPicPr>
                    <pic:cNvPr id="0" name="fig2-1.png"/>
                    <pic:cNvPicPr/>
                  </pic:nvPicPr>
                  <pic:blipFill>
                    <a:blip r:embed="rId12"/>
                    <a:stretch>
                      <a:fillRect/>
                    </a:stretch>
                  </pic:blipFill>
                  <pic:spPr>
                    <a:xfrm>
                      <a:off x="0" y="0"/>
                      <a:ext cx="4860000" cy="5476518"/>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2-1</w:t>
      </w:r>
      <w:r>
        <w:rPr>
          <w:rFonts w:eastAsia="標楷體" w:ascii="Times New Roman" w:hAnsi="Times New Roman"/>
          <w:b w:val="0"/>
          <w:i w:val="0"/>
          <w:sz w:val="22"/>
        </w:rPr>
        <w:t xml:space="preserve">　三種等效電路模型：(a) 內阻模型、(b) 戴維寧（一階 RC）模型、(c) 二階 RC 模型</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p>
    <w:p>
      <w:pPr>
        <w:spacing w:lineRule="atLeast" w:line="480"/>
        <w:ind w:firstLine="480"/>
        <w:jc w:val="both"/>
      </w:pPr>
      <w:r>
        <w:rPr>
          <w:rFonts w:eastAsia="標楷體" w:ascii="Times New Roman" w:hAnsi="Times New Roman"/>
          <w:b w:val="0"/>
          <w:i w:val="0"/>
          <w:sz w:val="24"/>
        </w:rPr>
        <w:t>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[4]。</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與極化電容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 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1</w:t>
      </w:r>
      <w:r>
        <w:rPr>
          <w:rFonts w:eastAsia="標楷體" w:ascii="Cambria Math" w:hAnsi="Cambria Math"/>
          <w:sz w:val="24"/>
        </w:rPr>
        <w:t xml:space="preserve"> = -(1)/(R</w:t>
      </w:r>
      <w:r>
        <w:rPr>
          <w:rFonts w:eastAsia="標楷體" w:ascii="Cambria Math" w:hAnsi="Cambria Math"/>
          <w:sz w:val="24"/>
          <w:vertAlign w:val="subscript"/>
        </w:rPr>
        <w:t xml:space="preserve">1</w:t>
      </w:r>
      <w:r>
        <w:rPr>
          <w:rFonts w:eastAsia="標楷體" w:ascii="Cambria Math" w:hAnsi="Cambria Math"/>
          <w:sz w:val="24"/>
        </w:rPr>
        <w:t xml:space="preserve"> C</w:t>
      </w:r>
      <w:r>
        <w:rPr>
          <w:rFonts w:eastAsia="標楷體" w:ascii="Cambria Math" w:hAnsi="Cambria Math"/>
          <w:sz w:val="24"/>
          <w:vertAlign w:val="subscript"/>
        </w:rPr>
        <w:t xml:space="preserve">1</w:t>
      </w:r>
      <w:r>
        <w:rPr>
          <w:rFonts w:eastAsia="標楷體" w:ascii="Cambria Math" w:hAnsi="Cambria Math"/>
          <w:sz w:val="24"/>
        </w:rPr>
        <w:t xml:space="preserve">) V</w:t>
      </w:r>
      <w:r>
        <w:rPr>
          <w:rFonts w:eastAsia="標楷體" w:ascii="Cambria Math" w:hAnsi="Cambria Math"/>
          <w:sz w:val="24"/>
          <w:vertAlign w:val="subscript"/>
        </w:rPr>
        <w:t xml:space="preserve">1</w:t>
      </w:r>
      <w:r>
        <w:rPr>
          <w:rFonts w:eastAsia="標楷體" w:ascii="Cambria Math" w:hAnsi="Cambria Math"/>
          <w:sz w:val="24"/>
        </w:rPr>
        <w:t xml:space="preserve"> + (1)/(C</w:t>
      </w:r>
      <w:r>
        <w:rPr>
          <w:rFonts w:eastAsia="標楷體" w:ascii="Cambria Math" w:hAnsi="Cambria Math"/>
          <w:sz w:val="24"/>
          <w:vertAlign w:val="subscript"/>
        </w:rPr>
        <w:t xml:space="preserve">1</w:t>
      </w:r>
      <w:r>
        <w:rPr>
          <w:rFonts w:eastAsia="標楷體" w:ascii="Cambria Math" w:hAnsi="Cambria Math"/>
          <w:sz w:val="24"/>
        </w:rPr>
        <w:t xml:space="preserve">) I 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[4]。其狀態通常取為 </w:t>
      </w:r>
      <w:r>
        <w:rPr>
          <w:rFonts w:eastAsia="標楷體" w:ascii="Times New Roman" w:hAnsi="Times New Roman"/>
          <w:b w:val="0"/>
          <w:i w:val="0"/>
          <w:sz w:val="24"/>
        </w:rPr>
        <w:t xml:space="preserve">[SOC, 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[4]。</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[1]。文獻中的 SOC 估測方法眾多，依其推估原理大致可分為兩類：（一）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 xml:space="preserve">SOC(t) = SOC(t</w:t>
      </w:r>
      <w:r>
        <w:rPr>
          <w:rFonts w:eastAsia="標楷體" w:ascii="Cambria Math" w:hAnsi="Cambria Math"/>
          <w:sz w:val="24"/>
          <w:vertAlign w:val="subscript"/>
        </w:rPr>
        <w:t xml:space="preserve">0</w:t>
      </w:r>
      <w:r>
        <w:rPr>
          <w:rFonts w:eastAsia="標楷體" w:ascii="Cambria Math" w:hAnsi="Cambria Math"/>
          <w:sz w:val="24"/>
        </w:rPr>
        <w:t xml:space="preserve">) - (1)/(C</w:t>
      </w:r>
      <w:r>
        <w:rPr>
          <w:rFonts w:eastAsia="標楷體" w:ascii="Cambria Math" w:hAnsi="Cambria Math"/>
          <w:sz w:val="24"/>
          <w:vertAlign w:val="subscript"/>
        </w:rPr>
        <w:t xml:space="preserve">rated</w:t>
      </w:r>
      <w:r>
        <w:rPr>
          <w:rFonts w:eastAsia="標楷體" w:ascii="Cambria Math" w:hAnsi="Cambria Math"/>
          <w:sz w:val="24"/>
        </w:rPr>
        <w:t xml:space="preserve">)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為初始 SOC，</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為電流（放電為正）[2]。庫倫計數法的優點是原理單純、運算量極低、瞬時動態響應好，且在電流量測準確時短時間內精度甚高，因此在本論文中兼任三種方法比較的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[2]：</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容量衰退</w:t>
      </w:r>
      <w:r>
        <w:rPr>
          <w:rFonts w:eastAsia="標楷體" w:ascii="Times New Roman" w:hAnsi="Times New Roman"/>
          <w:b w:val="0"/>
          <w:i w:val="0"/>
          <w:sz w:val="24"/>
        </w:rPr>
        <w:t xml:space="preserve">：額定容量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視為動態系統的隱藏狀態，透過「模型預測」與「量測更新」兩階段遞迴，在過程雜訊與量測雜訊並存下對狀態做最小均方誤差估測。將等效電路模型寫成離散狀態空間：</w:t>
      </w:r>
    </w:p>
    <w:p>
      <w:pPr>
        <w:spacing w:before="120" w:after="120" w:lineRule="atLeast" w:line="480"/>
        <w:jc w:val="center"/>
      </w:pPr>
      <w:r>
        <w:rPr>
          <w:rFonts w:eastAsia="標楷體" w:ascii="Cambria Math" w:hAnsi="Cambria Math"/>
          <w:sz w:val="24"/>
        </w:rPr>
        <w:t xml:space="preserve">x</w:t>
      </w:r>
      <w:r>
        <w:rPr>
          <w:rFonts w:eastAsia="標楷體" w:ascii="Cambria Math" w:hAnsi="Cambria Math"/>
          <w:sz w:val="24"/>
          <w:vertAlign w:val="subscript"/>
        </w:rPr>
        <w:t xml:space="preserve">k+1</w:t>
      </w:r>
      <w:r>
        <w:rPr>
          <w:rFonts w:eastAsia="標楷體" w:ascii="Cambria Math" w:hAnsi="Cambria Math"/>
          <w:sz w:val="24"/>
        </w:rPr>
        <w:t xml:space="preserve"> = A x</w:t>
      </w:r>
      <w:r>
        <w:rPr>
          <w:rFonts w:eastAsia="標楷體" w:ascii="Cambria Math" w:hAnsi="Cambria Math"/>
          <w:sz w:val="24"/>
          <w:vertAlign w:val="subscript"/>
        </w:rPr>
        <w:t xml:space="preserve">k</w:t>
      </w:r>
      <w:r>
        <w:rPr>
          <w:rFonts w:eastAsia="標楷體" w:ascii="Cambria Math" w:hAnsi="Cambria Math"/>
          <w:sz w:val="24"/>
        </w:rPr>
        <w:t xml:space="preserve"> + B u</w:t>
      </w:r>
      <w:r>
        <w:rPr>
          <w:rFonts w:eastAsia="標楷體" w:ascii="Cambria Math" w:hAnsi="Cambria Math"/>
          <w:sz w:val="24"/>
          <w:vertAlign w:val="subscript"/>
        </w:rPr>
        <w:t xml:space="preserve">k</w:t>
      </w:r>
      <w:r>
        <w:rPr>
          <w:rFonts w:eastAsia="標楷體" w:ascii="Cambria Math" w:hAnsi="Cambria Math"/>
          <w:sz w:val="24"/>
        </w:rPr>
        <w:t xml:space="preserve"> + w</w:t>
      </w:r>
      <w:r>
        <w:rPr>
          <w:rFonts w:eastAsia="標楷體" w:ascii="Cambria Math" w:hAnsi="Cambria Math"/>
          <w:sz w:val="24"/>
          <w:vertAlign w:val="subscript"/>
        </w:rPr>
        <w:t xml:space="preserve">k</w:t>
      </w:r>
      <w:r>
        <w:rPr>
          <w:rFonts w:eastAsia="標楷體" w:ascii="Cambria Math" w:hAnsi="Cambria Math"/>
          <w:sz w:val="24"/>
        </w:rPr>
        <w:t xml:space="preserve"> y</w:t>
      </w:r>
      <w:r>
        <w:rPr>
          <w:rFonts w:eastAsia="標楷體" w:ascii="Cambria Math" w:hAnsi="Cambria Math"/>
          <w:sz w:val="24"/>
          <w:vertAlign w:val="subscript"/>
        </w:rPr>
        <w:t xml:space="preserve">k</w:t>
      </w:r>
      <w:r>
        <w:rPr>
          <w:rFonts w:eastAsia="標楷體" w:ascii="Cambria Math" w:hAnsi="Cambria Math"/>
          <w:sz w:val="24"/>
        </w:rPr>
        <w:t xml:space="preserve"> = g(x</w:t>
      </w:r>
      <w:r>
        <w:rPr>
          <w:rFonts w:eastAsia="標楷體" w:ascii="Cambria Math" w:hAnsi="Cambria Math"/>
          <w:sz w:val="24"/>
          <w:vertAlign w:val="subscript"/>
        </w:rPr>
        <w:t xml:space="preserve">k</w:t>
      </w:r>
      <w:r>
        <w:rPr>
          <w:rFonts w:eastAsia="標楷體" w:ascii="Cambria Math" w:hAnsi="Cambria Math"/>
          <w:sz w:val="24"/>
        </w:rPr>
        <w:t xml:space="preserve">, u</w:t>
      </w:r>
      <w:r>
        <w:rPr>
          <w:rFonts w:eastAsia="標楷體" w:ascii="Cambria Math" w:hAnsi="Cambria Math"/>
          <w:sz w:val="24"/>
          <w:vertAlign w:val="subscript"/>
        </w:rPr>
        <w:t xml:space="preserve">k</w:t>
      </w:r>
      <w:r>
        <w:rPr>
          <w:rFonts w:eastAsia="標楷體" w:ascii="Cambria Math" w:hAnsi="Cambria Math"/>
          <w:sz w:val="24"/>
        </w:rPr>
        <w:t xml:space="preserve">) + v</w:t>
      </w:r>
      <w:r>
        <w:rPr>
          <w:rFonts w:eastAsia="標楷體" w:ascii="Cambria Math" w:hAnsi="Cambria Math"/>
          <w:sz w:val="24"/>
          <w:vertAlign w:val="subscript"/>
        </w:rPr>
        <w:t xml:space="preserve">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：以無跡轉換（unscented transform）取一組 sigma 點傳遞分佈，避免顯式求雅可比，於強非線性下精度通常優於 EKF，但運算量較高 [3]。</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w:t>
      </w:r>
    </w:p>
    <w:p>
      <w:pPr>
        <w:spacing w:lineRule="atLeast" w:line="480"/>
        <w:ind w:firstLine="480"/>
        <w:jc w:val="both"/>
      </w:pPr>
      <w:r>
        <w:rPr>
          <w:rFonts w:eastAsia="標楷體" w:ascii="Times New Roman" w:hAnsi="Times New Roman"/>
          <w:b w:val="0"/>
          <w:i w:val="0"/>
          <w:sz w:val="24"/>
        </w:rPr>
        <w:t>動態阻抗法 [1] 的出發點是避開「需初始值」與「需長時間靜置」兩大限制，改以電池在工作過程中端電壓對電流的瞬時變化率推估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 xml:space="preserve">Z</w:t>
      </w:r>
      <w:r>
        <w:rPr>
          <w:rFonts w:eastAsia="標楷體" w:ascii="Cambria Math" w:hAnsi="Cambria Math"/>
          <w:sz w:val="24"/>
          <w:vertAlign w:val="subscript"/>
        </w:rPr>
        <w:t xml:space="preserve">dyn</w:t>
      </w:r>
      <w:r>
        <w:rPr>
          <w:rFonts w:eastAsia="標楷體" w:ascii="Cambria Math" w:hAnsi="Cambria Math"/>
          <w:sz w:val="24"/>
        </w:rPr>
        <w:t xml:space="preserve"> = (Δ V)/(Δ I) = (V</w:t>
      </w:r>
      <w:r>
        <w:rPr>
          <w:rFonts w:eastAsia="標楷體" w:ascii="Cambria Math" w:hAnsi="Cambria Math"/>
          <w:sz w:val="24"/>
          <w:vertAlign w:val="subscript"/>
        </w:rPr>
        <w:t xml:space="preserve">1</w:t>
      </w:r>
      <w:r>
        <w:rPr>
          <w:rFonts w:eastAsia="標楷體" w:ascii="Cambria Math" w:hAnsi="Cambria Math"/>
          <w:sz w:val="24"/>
        </w:rPr>
        <w:t xml:space="preserve"> - V</w:t>
      </w:r>
      <w:r>
        <w:rPr>
          <w:rFonts w:eastAsia="標楷體" w:ascii="Cambria Math" w:hAnsi="Cambria Math"/>
          <w:sz w:val="24"/>
          <w:vertAlign w:val="subscript"/>
        </w:rPr>
        <w:t xml:space="preserve">2</w:t>
      </w:r>
      <w:r>
        <w:rPr>
          <w:rFonts w:eastAsia="標楷體" w:ascii="Cambria Math" w:hAnsi="Cambria Math"/>
          <w:sz w:val="24"/>
        </w:rPr>
        <w:t xml:space="preserve">)/(I</w:t>
      </w:r>
      <w:r>
        <w:rPr>
          <w:rFonts w:eastAsia="標楷體" w:ascii="Cambria Math" w:hAnsi="Cambria Math"/>
          <w:sz w:val="24"/>
          <w:vertAlign w:val="subscript"/>
        </w:rPr>
        <w:t xml:space="preserve">1</w:t>
      </w:r>
      <w:r>
        <w:rPr>
          <w:rFonts w:eastAsia="標楷體" w:ascii="Cambria Math" w:hAnsi="Cambria Math"/>
          <w:sz w:val="24"/>
        </w:rPr>
        <w:t xml:space="preserve"> - I</w:t>
      </w:r>
      <w:r>
        <w:rPr>
          <w:rFonts w:eastAsia="標楷體" w:ascii="Cambria Math" w:hAnsi="Cambria Math"/>
          <w:sz w:val="24"/>
          <w:vertAlign w:val="subscript"/>
        </w:rPr>
        <w:t xml:space="preserve">2</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[1]：</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[1]。</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[1]。本論文選其為比較對象之一，且現有的跨輪測試協定已對四種放電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需補充說明者，該文獻原文同時提出以「投影法（Projection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 xml:space="preserve">SOH = cos(tan⁻¹ a</w:t>
      </w:r>
      <w:r>
        <w:rPr>
          <w:rFonts w:eastAsia="標楷體" w:ascii="Times New Roman" w:hAnsi="Times New Roman"/>
          <w:b w:val="0"/>
          <w:i w:val="0"/>
          <w:sz w:val="24"/>
          <w:vertAlign w:val="subscript"/>
        </w:rPr>
        <w:t xml:space="preserve">now</w:t>
      </w:r>
      <w:r>
        <w:rPr>
          <w:rFonts w:eastAsia="標楷體" w:ascii="Times New Roman" w:hAnsi="Times New Roman"/>
          <w:b w:val="0"/>
          <w:i w:val="0"/>
          <w:sz w:val="24"/>
        </w:rPr>
        <w:t xml:space="preserve">) / cos(tan⁻¹ a</w:t>
      </w:r>
      <w:r>
        <w:rPr>
          <w:rFonts w:eastAsia="標楷體" w:ascii="Times New Roman" w:hAnsi="Times New Roman"/>
          <w:b w:val="0"/>
          <w:i w:val="0"/>
          <w:sz w:val="24"/>
          <w:vertAlign w:val="subscript"/>
        </w:rPr>
        <w:t xml:space="preserve">origin</w:t>
      </w:r>
      <w:r>
        <w:rPr>
          <w:rFonts w:eastAsia="標楷體" w:ascii="Times New Roman" w:hAnsi="Times New Roman"/>
          <w:b w:val="0"/>
          <w:i w:val="0"/>
          <w:sz w:val="24"/>
        </w:rPr>
        <w:t xml:space="preserve">) × 100%</w:t>
      </w:r>
      <w:r>
        <w:rPr>
          <w:rFonts w:eastAsia="標楷體" w:ascii="Times New Roman" w:hAnsi="Times New Roman"/>
          <w:b w:val="0"/>
          <w:i w:val="0"/>
          <w:sz w:val="24"/>
        </w:rPr>
        <w:t>，並於 ICR18650-22P 電池上量得新品、老化電池 1、老化電池 2 之可用容量分別約為標稱的 93.9%、89.1%、84.8% [1]。惟本論文範圍聚焦 SOC，投影法 SOH 估測列為未來工作（第六章），此處僅為完整呈現該文獻方法而並陳。</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的混合策略：以庫倫計數提供良好的瞬時動態，並在電池進入靜置（電流趨近零）時以 OCV 查表修正其累積漂移，部分產品再輔以簡化的電壓-電流模型補償極化 [3]。</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三者進行嵌入式實作與公平比較，並排除獨立使用之 OCV 查表。選擇與排除的依據整理如下表（對應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文獻 [1] 主推；無須初值、即時可算、嵌入式友善；現有 dV/dI 擾動數據可直接利用</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color w:val="000000"/>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before="120" w:after="40"/>
        <w:jc w:val="center"/>
      </w:pPr>
      <w:r>
        <w:drawing>
          <wp:inline xmlns:a="http://schemas.openxmlformats.org/drawingml/2006/main" xmlns:pic="http://schemas.openxmlformats.org/drawingml/2006/picture">
            <wp:extent cx="4860000" cy="3656312"/>
            <wp:docPr id="2" name="Picture 2"/>
            <wp:cNvGraphicFramePr>
              <a:graphicFrameLocks noChangeAspect="1"/>
            </wp:cNvGraphicFramePr>
            <a:graphic>
              <a:graphicData uri="http://schemas.openxmlformats.org/drawingml/2006/picture">
                <pic:pic>
                  <pic:nvPicPr>
                    <pic:cNvPr id="0" name="fig3-1.png"/>
                    <pic:cNvPicPr/>
                  </pic:nvPicPr>
                  <pic:blipFill>
                    <a:blip r:embed="rId13"/>
                    <a:stretch>
                      <a:fillRect/>
                    </a:stretch>
                  </pic:blipFill>
                  <pic:spPr>
                    <a:xfrm>
                      <a:off x="0" y="0"/>
                      <a:ext cx="4860000" cy="3656312"/>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3-1</w:t>
      </w:r>
      <w:r>
        <w:rPr>
          <w:rFonts w:eastAsia="標楷體" w:ascii="Times New Roman" w:hAnsi="Times New Roman"/>
          <w:b w:val="0"/>
          <w:i w:val="0"/>
          <w:sz w:val="22"/>
        </w:rPr>
        <w:t xml:space="preserve">　測試平台系統架構：上位機經序列埠驅動電源與電子負載，並接收嵌入式端的狀態回報；受測電池經 10 mΩ shunt 由 INA226 量測電流與電壓</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 xml:space="preserve">=4.2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cut</w:t>
      </w:r>
      <w:r>
        <w:rPr>
          <w:rFonts w:eastAsia="標楷體" w:ascii="Times New Roman" w:hAnsi="Times New Roman"/>
          <w:b w:val="0"/>
          <w:i w:val="0"/>
          <w:sz w:val="24"/>
        </w:rPr>
        <w:t xml:space="preserve">=2.5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890"/>
        <w:gridCol w:w="1939"/>
        <w:gridCol w:w="117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890"/>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939"/>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17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890"/>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939"/>
            <w:vAlign w:val="center"/>
          </w:tcPr>
          <w:p>
            <w:pPr>
              <w:spacing w:before="20" w:after="20" w:lineRule="atLeast" w:line="280"/>
              <w:jc w:val="left"/>
            </w:pPr>
            <w:r>
              <w:rPr>
                <w:rFonts w:eastAsia="標楷體" w:ascii="Times New Roman" w:hAnsi="Times New Roman"/>
                <w:b w:val="0"/>
                <w:i w:val="0"/>
                <w:sz w:val="21"/>
              </w:rPr>
              <w:t>—</w:t>
            </w:r>
          </w:p>
        </w:tc>
        <w:tc>
          <w:tcPr>
            <w:tcW w:type="dxa" w:w="1171"/>
            <w:vAlign w:val="center"/>
          </w:tcPr>
          <w:p>
            <w:pPr>
              <w:spacing w:before="20" w:after="20" w:lineRule="atLeast" w:line="280"/>
              <w:jc w:val="left"/>
            </w:pPr>
            <w:r>
              <w:rPr>
                <w:rFonts w:eastAsia="標楷體" w:ascii="Times New Roman" w:hAnsi="Times New Roman"/>
                <w:b w:val="0"/>
                <w:i w:val="0"/>
                <w:sz w:val="21"/>
              </w:rPr>
              <w:t>嵌入式估測標的、每秒狀態回報</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890"/>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939"/>
            <w:vAlign w:val="center"/>
          </w:tcPr>
          <w:p>
            <w:pPr>
              <w:spacing w:before="20" w:after="20" w:lineRule="atLeast" w:line="280"/>
              <w:jc w:val="left"/>
            </w:pPr>
            <w:r>
              <w:rPr>
                <w:rFonts w:eastAsia="標楷體" w:ascii="Times New Roman" w:hAnsi="Times New Roman"/>
                <w:b w:val="0"/>
                <w:i w:val="0"/>
                <w:sz w:val="21"/>
              </w:rPr>
              <w:t>I²C1 @ 400 kHz</w:t>
            </w:r>
          </w:p>
        </w:tc>
        <w:tc>
          <w:tcPr>
            <w:tcW w:type="dxa" w:w="117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890"/>
            <w:vAlign w:val="center"/>
          </w:tcPr>
          <w:p>
            <w:pPr>
              <w:spacing w:before="20" w:after="20" w:lineRule="atLeast" w:line="280"/>
              <w:jc w:val="left"/>
            </w:pPr>
            <w:r>
              <w:rPr>
                <w:rFonts w:eastAsia="標楷體" w:ascii="Times New Roman" w:hAnsi="Times New Roman"/>
                <w:b w:val="0"/>
                <w:i w:val="0"/>
                <w:sz w:val="21"/>
              </w:rPr>
              <w:t>ITECH IT6302（CC-CV）</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890"/>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890"/>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939"/>
            <w:vAlign w:val="center"/>
          </w:tcPr>
          <w:p>
            <w:pPr>
              <w:spacing w:before="20" w:after="20" w:lineRule="atLeast" w:line="280"/>
              <w:jc w:val="left"/>
            </w:pPr>
            <w:r>
              <w:rPr>
                <w:rFonts w:eastAsia="標楷體" w:ascii="Times New Roman" w:hAnsi="Times New Roman"/>
                <w:b w:val="0"/>
                <w:i w:val="0"/>
                <w:sz w:val="21"/>
              </w:rPr>
              <w:t>USB 三埠</w:t>
            </w:r>
          </w:p>
        </w:tc>
        <w:tc>
          <w:tcPr>
            <w:tcW w:type="dxa" w:w="117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序列埠通訊：對電源與電子負載下達控制指令，並接收微控制器每秒回報一次的電壓／電流／SOC 估測值。如此，同一充放電事件同時被「儀錶真值」與「微控制器估測」兩路獨立記錄，構成第四章逐點誤差分析的資料基礎。</w:t>
      </w:r>
    </w:p>
    <w:p>
      <w:pPr>
        <w:spacing w:before="240" w:after="120" w:lineRule="atLeast" w:line="360"/>
        <w:jc w:val="left"/>
      </w:pPr>
      <w:r>
        <w:rPr>
          <w:rFonts w:eastAsia="標楷體" w:ascii="Times New Roman" w:hAnsi="Times New Roman"/>
          <w:b/>
          <w:i w:val="0"/>
          <w:sz w:val="28"/>
        </w:rPr>
        <w:t>3.2 韌體骨架</w:t>
      </w:r>
    </w:p>
    <w:p>
      <w:pPr>
        <w:spacing w:lineRule="atLeast" w:line="480"/>
        <w:ind w:firstLine="480"/>
        <w:jc w:val="both"/>
      </w:pPr>
      <w:r>
        <w:rPr>
          <w:rFonts w:eastAsia="標楷體" w:ascii="Times New Roman" w:hAnsi="Times New Roman"/>
          <w:b w:val="0"/>
          <w:i w:val="0"/>
          <w:sz w:val="24"/>
        </w:rPr>
        <w:t>為使第四章三種 SOC 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pPr>
        <w:spacing w:lineRule="atLeast" w:line="480"/>
        <w:ind w:firstLine="480"/>
        <w:jc w:val="both"/>
      </w:pPr>
      <w:r>
        <w:rPr>
          <w:rFonts w:eastAsia="標楷體" w:ascii="Times New Roman" w:hAnsi="Times New Roman"/>
          <w:b/>
          <w:i w:val="0"/>
          <w:sz w:val="24"/>
        </w:rPr>
        <w:t>固定的系統節拍</w:t>
      </w:r>
      <w:r>
        <w:rPr>
          <w:rFonts w:eastAsia="標楷體" w:ascii="Times New Roman" w:hAnsi="Times New Roman"/>
          <w:b w:val="0"/>
          <w:i w:val="0"/>
          <w:sz w:val="24"/>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pPr>
        <w:spacing w:lineRule="atLeast" w:line="480"/>
        <w:ind w:firstLine="480"/>
        <w:jc w:val="both"/>
      </w:pPr>
      <w:r>
        <w:rPr>
          <w:rFonts w:eastAsia="標楷體" w:ascii="Times New Roman" w:hAnsi="Times New Roman"/>
          <w:b/>
          <w:i w:val="0"/>
          <w:sz w:val="24"/>
        </w:rPr>
        <w:t>「開機初始化一次、之後反覆執行」的主架構</w:t>
      </w:r>
      <w:r>
        <w:rPr>
          <w:rFonts w:eastAsia="標楷體" w:ascii="Times New Roman" w:hAnsi="Times New Roman"/>
          <w:b w:val="0"/>
          <w:i w:val="0"/>
          <w:sz w:val="24"/>
        </w:rPr>
        <w:t>：開機後先把各個功能模組依序初始化（通訊埠、量測晶片、校正資料載入等）一次，接著進入主迴圈反覆執行各模組的例行工作，並依節拍分派週期性事件。若量測晶片在開機時未被偵測到，系統會以警告繼續運行而非直接中止——量測平台必須在感測器缺席時仍能存活。</w:t>
      </w:r>
    </w:p>
    <w:p>
      <w:pPr>
        <w:spacing w:lineRule="atLeast" w:line="480"/>
        <w:ind w:firstLine="480"/>
        <w:jc w:val="both"/>
      </w:pPr>
      <w:r>
        <w:rPr>
          <w:rFonts w:eastAsia="標楷體" w:ascii="Times New Roman" w:hAnsi="Times New Roman"/>
          <w:b/>
          <w:i w:val="0"/>
          <w:sz w:val="24"/>
        </w:rPr>
        <w:t>模組化的功能切分</w:t>
      </w:r>
      <w:r>
        <w:rPr>
          <w:rFonts w:eastAsia="標楷體" w:ascii="Times New Roman" w:hAnsi="Times New Roman"/>
          <w:b w:val="0"/>
          <w:i w:val="0"/>
          <w:sz w:val="24"/>
        </w:rPr>
        <w:t>：應用功能被切成數個獨立模組，各自只負責一件事、彼此低耦合，方便維護與替換。主要模組與其職責整理如表 3-2，其中「SOC 估測模組」即第四章三種方法的共同掛載點。</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74"/>
        <w:gridCol w:w="7126"/>
      </w:tblGrid>
      <w:tr>
        <w:tc>
          <w:tcPr>
            <w:tcW w:type="dxa" w:w="1474"/>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7126"/>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1474"/>
            <w:vAlign w:val="center"/>
          </w:tcPr>
          <w:p>
            <w:pPr>
              <w:spacing w:before="20" w:after="20" w:lineRule="atLeast" w:line="280"/>
              <w:jc w:val="left"/>
            </w:pPr>
            <w:r>
              <w:rPr>
                <w:rFonts w:eastAsia="標楷體" w:ascii="Times New Roman" w:hAnsi="Times New Roman"/>
                <w:b w:val="0"/>
                <w:i w:val="0"/>
                <w:sz w:val="21"/>
              </w:rPr>
              <w:t>除錯通訊</w:t>
            </w:r>
          </w:p>
        </w:tc>
        <w:tc>
          <w:tcPr>
            <w:tcW w:type="dxa" w:w="7126"/>
            <w:vAlign w:val="center"/>
          </w:tcPr>
          <w:p>
            <w:pPr>
              <w:spacing w:before="20" w:after="20" w:lineRule="atLeast" w:line="280"/>
              <w:jc w:val="left"/>
            </w:pPr>
            <w:r>
              <w:rPr>
                <w:rFonts w:eastAsia="標楷體" w:ascii="Times New Roman" w:hAnsi="Times New Roman"/>
                <w:b w:val="0"/>
                <w:i w:val="0"/>
                <w:sz w:val="21"/>
              </w:rPr>
              <w:t>透過序列埠輸出狀態與訊息，供上位機即時監看</w:t>
            </w:r>
          </w:p>
        </w:tc>
      </w:tr>
      <w:tr>
        <w:tc>
          <w:tcPr>
            <w:tcW w:type="dxa" w:w="1474"/>
            <w:vAlign w:val="center"/>
          </w:tcPr>
          <w:p>
            <w:pPr>
              <w:spacing w:before="20" w:after="20" w:lineRule="atLeast" w:line="280"/>
              <w:jc w:val="left"/>
            </w:pPr>
            <w:r>
              <w:rPr>
                <w:rFonts w:eastAsia="標楷體" w:ascii="Times New Roman" w:hAnsi="Times New Roman"/>
                <w:b w:val="0"/>
                <w:i w:val="0"/>
                <w:sz w:val="21"/>
              </w:rPr>
              <w:t>量測匯流排</w:t>
            </w:r>
          </w:p>
        </w:tc>
        <w:tc>
          <w:tcPr>
            <w:tcW w:type="dxa" w:w="7126"/>
            <w:vAlign w:val="center"/>
          </w:tcPr>
          <w:p>
            <w:pPr>
              <w:spacing w:before="20" w:after="20" w:lineRule="atLeast" w:line="280"/>
              <w:jc w:val="left"/>
            </w:pPr>
            <w:r>
              <w:rPr>
                <w:rFonts w:eastAsia="標楷體" w:ascii="Times New Roman" w:hAnsi="Times New Roman"/>
                <w:b w:val="0"/>
                <w:i w:val="0"/>
                <w:sz w:val="21"/>
              </w:rPr>
              <w:t>與電流／電壓量測晶片（INA226）通訊、讀寫其設定與資料</w:t>
            </w:r>
          </w:p>
        </w:tc>
      </w:tr>
      <w:tr>
        <w:tc>
          <w:tcPr>
            <w:tcW w:type="dxa" w:w="1474"/>
            <w:vAlign w:val="center"/>
          </w:tcPr>
          <w:p>
            <w:pPr>
              <w:spacing w:before="20" w:after="20" w:lineRule="atLeast" w:line="280"/>
              <w:jc w:val="left"/>
            </w:pPr>
            <w:r>
              <w:rPr>
                <w:rFonts w:eastAsia="標楷體" w:ascii="Times New Roman" w:hAnsi="Times New Roman"/>
                <w:b w:val="0"/>
                <w:i w:val="0"/>
                <w:sz w:val="21"/>
              </w:rPr>
              <w:t>電池量測</w:t>
            </w:r>
          </w:p>
        </w:tc>
        <w:tc>
          <w:tcPr>
            <w:tcW w:type="dxa" w:w="7126"/>
            <w:vAlign w:val="center"/>
          </w:tcPr>
          <w:p>
            <w:pPr>
              <w:spacing w:before="20" w:after="20" w:lineRule="atLeast" w:line="280"/>
              <w:jc w:val="left"/>
            </w:pPr>
            <w:r>
              <w:rPr>
                <w:rFonts w:eastAsia="標楷體" w:ascii="Times New Roman" w:hAnsi="Times New Roman"/>
                <w:b w:val="0"/>
                <w:i w:val="0"/>
                <w:sz w:val="21"/>
              </w:rPr>
              <w:t>設定量測晶片並取得最新的電壓、電流、功率讀值</w:t>
            </w:r>
          </w:p>
        </w:tc>
      </w:tr>
      <w:tr>
        <w:tc>
          <w:tcPr>
            <w:tcW w:type="dxa" w:w="1474"/>
            <w:vAlign w:val="center"/>
          </w:tcPr>
          <w:p>
            <w:pPr>
              <w:spacing w:before="20" w:after="20" w:lineRule="atLeast" w:line="280"/>
              <w:jc w:val="left"/>
            </w:pPr>
            <w:r>
              <w:rPr>
                <w:rFonts w:eastAsia="標楷體" w:ascii="Times New Roman" w:hAnsi="Times New Roman"/>
                <w:b w:val="0"/>
                <w:i w:val="0"/>
                <w:sz w:val="21"/>
              </w:rPr>
              <w:t>校正套用</w:t>
            </w:r>
          </w:p>
        </w:tc>
        <w:tc>
          <w:tcPr>
            <w:tcW w:type="dxa" w:w="7126"/>
            <w:vAlign w:val="center"/>
          </w:tcPr>
          <w:p>
            <w:pPr>
              <w:spacing w:before="20" w:after="20" w:lineRule="atLeast" w:line="280"/>
              <w:jc w:val="left"/>
            </w:pPr>
            <w:r>
              <w:rPr>
                <w:rFonts w:eastAsia="標楷體" w:ascii="Times New Roman" w:hAnsi="Times New Roman"/>
                <w:b w:val="0"/>
                <w:i w:val="0"/>
                <w:sz w:val="21"/>
              </w:rPr>
              <w:t>載入多點校正資料並套用於原始讀值（見 3.3 節）</w:t>
            </w:r>
          </w:p>
        </w:tc>
      </w:tr>
      <w:tr>
        <w:tc>
          <w:tcPr>
            <w:tcW w:type="dxa" w:w="1474"/>
            <w:vAlign w:val="center"/>
          </w:tcPr>
          <w:p>
            <w:pPr>
              <w:spacing w:before="20" w:after="20" w:lineRule="atLeast" w:line="280"/>
              <w:jc w:val="left"/>
            </w:pPr>
            <w:r>
              <w:rPr>
                <w:rFonts w:eastAsia="標楷體" w:ascii="Times New Roman" w:hAnsi="Times New Roman"/>
                <w:b w:val="0"/>
                <w:i w:val="0"/>
                <w:sz w:val="21"/>
              </w:rPr>
              <w:t>SOC 估測</w:t>
            </w:r>
          </w:p>
        </w:tc>
        <w:tc>
          <w:tcPr>
            <w:tcW w:type="dxa" w:w="7126"/>
            <w:vAlign w:val="center"/>
          </w:tcPr>
          <w:p>
            <w:pPr>
              <w:spacing w:before="20" w:after="20" w:lineRule="atLeast" w:line="280"/>
              <w:jc w:val="left"/>
            </w:pPr>
            <w:r>
              <w:rPr>
                <w:rFonts w:eastAsia="標楷體" w:ascii="Times New Roman" w:hAnsi="Times New Roman"/>
                <w:b w:val="0"/>
                <w:i w:val="0"/>
                <w:sz w:val="21"/>
              </w:rPr>
              <w:t>第四章三種估測方法掛載於此</w:t>
            </w:r>
          </w:p>
        </w:tc>
      </w:tr>
    </w:tbl>
    <w:p>
      <w:pPr>
        <w:spacing w:lineRule="atLeast" w:line="480"/>
        <w:ind w:firstLine="480"/>
        <w:jc w:val="both"/>
      </w:pPr>
      <w:r>
        <w:rPr>
          <w:rFonts w:eastAsia="標楷體" w:ascii="Times New Roman" w:hAnsi="Times New Roman"/>
          <w:b w:val="0"/>
          <w:i w:val="0"/>
          <w:sz w:val="24"/>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 3.3 節）。此骨架即為第四章三種估測方法的共同載體：三者只替換最核心的估測模組，其餘部分完全相同，確保比較之公平性。</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 xml:space="preserve">Current</w:t>
      </w:r>
      <w:r>
        <w:rPr>
          <w:rFonts w:eastAsia="標楷體" w:ascii="Consolas" w:hAnsi="Consolas"/>
          <w:b w:val="0"/>
          <w:i w:val="0"/>
          <w:sz w:val="21"/>
          <w:vertAlign w:val="subscript"/>
        </w:rPr>
        <w:t xml:space="preserve">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 xml:space="preserve">[m</w:t>
      </w:r>
      <w:r>
        <w:rPr>
          <w:rFonts w:eastAsia="標楷體" w:ascii="Times New Roman" w:hAnsi="Times New Roman"/>
          <w:b w:val="0"/>
          <w:i w:val="0"/>
          <w:sz w:val="24"/>
          <w:vertAlign w:val="subscript"/>
        </w:rPr>
        <w:t xml:space="preserve">k</w:t>
      </w:r>
      <w:r>
        <w:rPr>
          <w:rFonts w:eastAsia="標楷體" w:ascii="Times New Roman" w:hAnsi="Times New Roman"/>
          <w:b w:val="0"/>
          <w:i w:val="0"/>
          <w:sz w:val="24"/>
        </w:rPr>
        <w:t xml:space="preserve">, m</w:t>
      </w:r>
      <w:r>
        <w:rPr>
          <w:rFonts w:eastAsia="標楷體" w:ascii="Times New Roman" w:hAnsi="Times New Roman"/>
          <w:b w:val="0"/>
          <w:i w:val="0"/>
          <w:sz w:val="24"/>
          <w:vertAlign w:val="subscript"/>
        </w:rPr>
        <w:t xml:space="preserve">k+1</w:t>
      </w:r>
      <w:r>
        <w:rPr>
          <w:rFonts w:eastAsia="標楷體" w:ascii="Times New Roman" w:hAnsi="Times New Roman"/>
          <w:b w:val="0"/>
          <w:i w:val="0"/>
          <w:sz w:val="24"/>
        </w:rPr>
        <w:t xml:space="preserve">]</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 xml:space="preserve">（&lt;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w:t>
      </w:r>
      <w:r>
        <w:rPr>
          <w:rFonts w:eastAsia="標楷體" w:ascii="Times New Roman" w:hAnsi="Times New Roman"/>
          <w:b w:val="0"/>
          <w:i w:val="0"/>
          <w:sz w:val="24"/>
          <w:vertAlign w:val="subscript"/>
        </w:rPr>
        <w:t xml:space="preserve">ina226</w:t>
      </w:r>
      <w:r>
        <w:rPr>
          <w:rFonts w:eastAsia="標楷體" w:ascii="Times New Roman" w:hAnsi="Times New Roman"/>
          <w:b w:val="0"/>
          <w:i w:val="0"/>
          <w:sz w:val="24"/>
          <w:vertAlign w:val="subscript"/>
        </w:rPr>
        <w:t xml:space="preserve">calibration</w:t>
      </w:r>
      <w:r>
        <w:rPr>
          <w:rFonts w:eastAsia="標楷體" w:ascii="Times New Roman" w:hAnsi="Times New Roman"/>
          <w:b w:val="0"/>
          <w:i w:val="0"/>
          <w:sz w:val="24"/>
        </w:rPr>
        <w:t xml:space="preserve">.md](../校正紀錄/2026-05-07</w:t>
      </w:r>
      <w:r>
        <w:rPr>
          <w:rFonts w:eastAsia="標楷體" w:ascii="Times New Roman" w:hAnsi="Times New Roman"/>
          <w:b w:val="0"/>
          <w:i w:val="0"/>
          <w:sz w:val="24"/>
          <w:vertAlign w:val="subscript"/>
        </w:rPr>
        <w:t xml:space="preserve">ina226</w:t>
      </w:r>
      <w:r>
        <w:rPr>
          <w:rFonts w:eastAsia="標楷體" w:ascii="Times New Roman" w:hAnsi="Times New Roman"/>
          <w:b w:val="0"/>
          <w:i w:val="0"/>
          <w:sz w:val="24"/>
          <w:vertAlign w:val="subscript"/>
        </w:rPr>
        <w:t xml:space="preserve">calibration</w:t>
      </w:r>
      <w:r>
        <w:rPr>
          <w:rFonts w:eastAsia="標楷體" w:ascii="Times New Roman" w:hAnsi="Times New Roman"/>
          <w:b w:val="0"/>
          <w:i w:val="0"/>
          <w:sz w:val="24"/>
        </w:rPr>
        <w:t xml:space="preserve">.md)。</w:t>
      </w:r>
    </w:p>
    <w:p>
      <w:pPr>
        <w:spacing w:before="240" w:after="120" w:lineRule="atLeast" w:line="360"/>
        <w:jc w:val="left"/>
      </w:pPr>
      <w:r>
        <w:rPr>
          <w:rFonts w:eastAsia="標楷體" w:ascii="Times New Roman" w:hAnsi="Times New Roman"/>
          <w:b w:val="0"/>
          <w:i w:val="0"/>
          <w:sz w:val="28"/>
        </w:rPr>
        <w:t xml:space="preserve">3.4 跨輪自動化測試協定</w:t>
      </w:r>
    </w:p>
    <w:p>
      <w:pPr>
        <w:spacing w:lineRule="atLeast" w:line="480"/>
        <w:ind w:firstLine="480"/>
        <w:jc w:val="both"/>
      </w:pPr>
      <w:r>
        <w:rPr>
          <w:rFonts w:eastAsia="標楷體" w:ascii="Times New Roman" w:hAnsi="Times New Roman"/>
          <w:b w:val="0"/>
          <w:i w:val="0"/>
          <w:sz w:val="24"/>
        </w:rPr>
        <w:t>第四章的方法比較需要橫跨多種放電倍率、且可跨多輪累積的乾淨資料。本研究設計了一套由上位機自動執行的跨輪測試協定。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：一輪由四組「充電 → 休息 → 放電 → 休息」串成，充電一律以 0.5C 進行（高倍率充電會傷害電池並污染健康度基準），四組的放電倍率依序為 0.5C、1.0C、1.5C、2.0C，每次轉向之間休息 30 分鐘讓電池鬆弛。一輪約 16～18 小時。協定流程如表 3-4：每一組都是相同的四步驟，只有放電倍率不同。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5058"/>
        <w:gridCol w:w="674"/>
        <w:gridCol w:w="2268"/>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組別</w:t>
            </w:r>
          </w:p>
        </w:tc>
        <w:tc>
          <w:tcPr>
            <w:tcW w:type="dxa" w:w="5058"/>
            <w:shd w:val="clear" w:color="auto" w:fill="D9E2F3"/>
            <w:vAlign w:val="center"/>
          </w:tcPr>
          <w:p>
            <w:pPr>
              <w:spacing w:before="20" w:after="20" w:lineRule="atLeast" w:line="280"/>
              <w:jc w:val="center"/>
            </w:pPr>
            <w:r>
              <w:rPr>
                <w:rFonts w:eastAsia="標楷體" w:ascii="Times New Roman" w:hAnsi="Times New Roman"/>
                <w:b/>
                <w:i w:val="0"/>
                <w:sz w:val="21"/>
              </w:rPr>
              <w:t>一組的流程（充電固定 0.5C）</w:t>
            </w:r>
          </w:p>
        </w:tc>
        <w:tc>
          <w:tcPr>
            <w:tcW w:type="dxa" w:w="674"/>
            <w:shd w:val="clear" w:color="auto" w:fill="D9E2F3"/>
            <w:vAlign w:val="center"/>
          </w:tcPr>
          <w:p>
            <w:pPr>
              <w:spacing w:before="20" w:after="20" w:lineRule="atLeast" w:line="280"/>
              <w:jc w:val="center"/>
            </w:pPr>
            <w:r>
              <w:rPr>
                <w:rFonts w:eastAsia="標楷體" w:ascii="Times New Roman" w:hAnsi="Times New Roman"/>
                <w:b/>
                <w:i w:val="0"/>
                <w:sz w:val="21"/>
              </w:rPr>
              <w:t>放電倍率</w:t>
            </w:r>
          </w:p>
        </w:tc>
        <w:tc>
          <w:tcPr>
            <w:tcW w:type="dxa" w:w="2268"/>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600"/>
            <w:vAlign w:val="center"/>
          </w:tcPr>
          <w:p>
            <w:pPr>
              <w:spacing w:before="20" w:after="20" w:lineRule="atLeast" w:line="280"/>
              <w:jc w:val="center"/>
            </w:pPr>
            <w:r>
              <w:rPr>
                <w:rFonts w:eastAsia="標楷體" w:ascii="Times New Roman" w:hAnsi="Times New Roman"/>
                <w:b w:val="0"/>
                <w:i w:val="0"/>
                <w:sz w:val="21"/>
              </w:rPr>
              <w:t>1</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0.5C</w:t>
            </w:r>
          </w:p>
        </w:tc>
        <w:tc>
          <w:tcPr>
            <w:tcW w:type="dxa" w:w="2268"/>
            <w:vAlign w:val="center"/>
          </w:tcPr>
          <w:p>
            <w:pPr>
              <w:spacing w:before="20" w:after="20" w:lineRule="atLeast" w:line="280"/>
              <w:jc w:val="left"/>
            </w:pPr>
            <w:r>
              <w:rPr>
                <w:rFonts w:eastAsia="標楷體" w:ascii="Times New Roman" w:hAnsi="Times New Roman"/>
                <w:b w:val="0"/>
                <w:i w:val="0"/>
                <w:sz w:val="21"/>
              </w:rPr>
              <w:t>取得 0.5C 基準放電曲線</w:t>
            </w:r>
          </w:p>
        </w:tc>
      </w:tr>
      <w:tr>
        <w:tc>
          <w:tcPr>
            <w:tcW w:type="dxa" w:w="600"/>
            <w:vAlign w:val="center"/>
          </w:tcPr>
          <w:p>
            <w:pPr>
              <w:spacing w:before="20" w:after="20" w:lineRule="atLeast" w:line="280"/>
              <w:jc w:val="center"/>
            </w:pPr>
            <w:r>
              <w:rPr>
                <w:rFonts w:eastAsia="標楷體" w:ascii="Times New Roman" w:hAnsi="Times New Roman"/>
                <w:b w:val="0"/>
                <w:i w:val="0"/>
                <w:sz w:val="21"/>
              </w:rPr>
              <w:t>2</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3</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1.5C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4</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2.0C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 xml:space="preserve">V ≥ V</w:t>
      </w:r>
      <w:r>
        <w:rPr>
          <w:rFonts w:eastAsia="標楷體" w:ascii="Times New Roman" w:hAnsi="Times New Roman"/>
          <w:b w:val="0"/>
          <w:i w:val="0"/>
          <w:sz w:val="24"/>
          <w:vertAlign w:val="subscript"/>
        </w:rPr>
        <w:t xml:space="preserve">cv-100</w:t>
      </w:r>
      <w:r>
        <w:rPr>
          <w:rFonts w:eastAsia="標楷體" w:ascii="Times New Roman" w:hAnsi="Times New Roman"/>
          <w:b w:val="0"/>
          <w:i w:val="0"/>
          <w:sz w:val="24"/>
        </w:rPr>
        <w:t xml:space="preserve">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 xml:space="preserve">V ≥ V</w:t>
      </w:r>
      <w:r>
        <w:rPr>
          <w:rFonts w:eastAsia="標楷體" w:ascii="Times New Roman" w:hAnsi="Times New Roman"/>
          <w:b w:val="0"/>
          <w:i w:val="0"/>
          <w:sz w:val="24"/>
          <w:vertAlign w:val="subscript"/>
        </w:rPr>
        <w:t xml:space="preserve">cv-30</w:t>
      </w:r>
      <w:r>
        <w:rPr>
          <w:rFonts w:eastAsia="標楷體" w:ascii="Times New Roman" w:hAnsi="Times New Roman"/>
          <w:b w:val="0"/>
          <w:i w:val="0"/>
          <w:sz w:val="24"/>
        </w:rPr>
        <w:t xml:space="preserve">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 xml:space="preserve">note=already</w:t>
      </w:r>
      <w:r>
        <w:rPr>
          <w:rFonts w:eastAsia="標楷體" w:ascii="Consolas" w:hAnsi="Consolas"/>
          <w:b w:val="0"/>
          <w:i w:val="0"/>
          <w:sz w:val="21"/>
          <w:vertAlign w:val="subscript"/>
        </w:rPr>
        <w:t xml:space="preserve">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[1]。每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 xml:space="preserve">持久化 cycle</w:t>
      </w:r>
      <w:r>
        <w:rPr>
          <w:rFonts w:eastAsia="標楷體" w:ascii="Times New Roman" w:hAnsi="Times New Roman"/>
          <w:b/>
          <w:i w:val="0"/>
          <w:sz w:val="24"/>
          <w:vertAlign w:val="subscript"/>
        </w:rPr>
        <w:t xml:space="preserve">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 xml:space="preserve">cycle</w:t>
      </w:r>
      <w:r>
        <w:rPr>
          <w:rFonts w:eastAsia="標楷體" w:ascii="Consolas" w:hAnsi="Consolas"/>
          <w:b w:val="0"/>
          <w:i w:val="0"/>
          <w:sz w:val="21"/>
          <w:vertAlign w:val="subscript"/>
        </w:rPr>
        <w:t xml:space="preserve">log</w:t>
      </w:r>
      <w:r>
        <w:rPr>
          <w:rFonts w:eastAsia="標楷體" w:ascii="Consolas" w:hAnsi="Consolas"/>
          <w:b w:val="0"/>
          <w:i w:val="0"/>
          <w:sz w:val="21"/>
        </w:rPr>
        <w:t xml:space="preserve">.csv</w:t>
      </w:r>
      <w:r>
        <w:rPr>
          <w:rFonts w:eastAsia="標楷體" w:ascii="Times New Roman" w:hAnsi="Times New Roman"/>
          <w:b w:val="0"/>
          <w:i w:val="0"/>
          <w:sz w:val="24"/>
        </w:rPr>
        <w:t xml:space="preserve"> 追加一列，記錄 </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w:t>
      </w:r>
      <w:r>
        <w:rPr>
          <w:rFonts w:eastAsia="標楷體" w:ascii="Consolas" w:hAnsi="Consolas"/>
          <w:b w:val="0"/>
          <w:i w:val="0"/>
          <w:sz w:val="21"/>
        </w:rPr>
        <w:t xml:space="preserve">round</w:t>
      </w:r>
      <w:r>
        <w:rPr>
          <w:rFonts w:eastAsia="標楷體" w:ascii="Consolas" w:hAnsi="Consolas"/>
          <w:b w:val="0"/>
          <w:i w:val="0"/>
          <w:sz w:val="21"/>
          <w:vertAlign w:val="subscript"/>
        </w:rPr>
        <w:t xml:space="preserve">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 xml:space="preserve">q</w:t>
      </w:r>
      <w:r>
        <w:rPr>
          <w:rFonts w:eastAsia="標楷體" w:ascii="Cambria Math" w:hAnsi="Cambria Math"/>
          <w:sz w:val="24"/>
          <w:vertAlign w:val="subscript"/>
        </w:rPr>
        <w:t xml:space="preserve">retention</w:t>
      </w:r>
      <w:r>
        <w:rPr>
          <w:rFonts w:eastAsia="標楷體" w:ascii="Cambria Math" w:hAnsi="Cambria Math"/>
          <w:sz w:val="24"/>
        </w:rPr>
        <w:t xml:space="preserve"> (%) = 100 × (q</w:t>
      </w:r>
      <w:r>
        <w:rPr>
          <w:rFonts w:eastAsia="標楷體" w:ascii="Cambria Math" w:hAnsi="Cambria Math"/>
          <w:sz w:val="24"/>
          <w:vertAlign w:val="subscript"/>
        </w:rPr>
        <w:t xml:space="preserve">actual</w:t>
      </w:r>
      <w:r>
        <w:rPr>
          <w:rFonts w:eastAsia="標楷體" w:ascii="Cambria Math" w:hAnsi="Cambria Math"/>
          <w:sz w:val="24"/>
        </w:rPr>
        <w:t xml:space="preserve">)/(q</w:t>
      </w:r>
      <w:r>
        <w:rPr>
          <w:rFonts w:eastAsia="標楷體" w:ascii="Cambria Math" w:hAnsi="Cambria Math"/>
          <w:sz w:val="24"/>
          <w:vertAlign w:val="subscript"/>
        </w:rPr>
        <w:t xml:space="preserve">rated</w:t>
      </w:r>
      <w:r>
        <w:rPr>
          <w:rFonts w:eastAsia="標楷體" w:ascii="Cambria Math" w:hAnsi="Cambria Math"/>
          <w:sz w:val="24"/>
        </w:rPr>
        <w:t xml:space="preserve">)</w:t>
      </w:r>
    </w:p>
    <w:p>
      <w:pPr>
        <w:spacing w:lineRule="atLeast" w:line="360"/>
        <w:ind w:firstLine="480"/>
        <w:jc w:val="both"/>
      </w:pP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 xml:space="preserve">（一對充放電共用一個 cycle</w:t>
      </w:r>
      <w:r>
        <w:rPr>
          <w:rFonts w:eastAsia="標楷體" w:ascii="Times New Roman" w:hAnsi="Times New Roman"/>
          <w:b w:val="0"/>
          <w:i w:val="0"/>
          <w:sz w:val="24"/>
          <w:vertAlign w:val="subscript"/>
        </w:rPr>
        <w:t xml:space="preserve">id</w:t>
      </w:r>
      <w:r>
        <w:rPr>
          <w:rFonts w:eastAsia="標楷體" w:ascii="Times New Roman" w:hAnsi="Times New Roman"/>
          <w:b w:val="0"/>
          <w:i w:val="0"/>
          <w:sz w:val="24"/>
        </w:rPr>
        <w:t xml:space="preserve">）；跨次執行時程式自動讀回既有 CSV，續接 </w:t>
      </w:r>
      <w:r>
        <w:rPr>
          <w:rFonts w:eastAsia="標楷體" w:ascii="Consolas" w:hAnsi="Consolas"/>
          <w:b w:val="0"/>
          <w:i w:val="0"/>
          <w:sz w:val="21"/>
        </w:rPr>
        <w:t xml:space="preserve">round</w:t>
      </w:r>
      <w:r>
        <w:rPr>
          <w:rFonts w:eastAsia="標楷體" w:ascii="Consolas" w:hAnsi="Consolas"/>
          <w:b w:val="0"/>
          <w:i w:val="0"/>
          <w:sz w:val="21"/>
          <w:vertAlign w:val="subscript"/>
        </w:rPr>
        <w:t xml:space="preserve">id</w:t>
      </w:r>
      <w:r>
        <w:rPr>
          <w:rFonts w:eastAsia="標楷體" w:ascii="Times New Roman" w:hAnsi="Times New Roman"/>
          <w:b w:val="0"/>
          <w:i w:val="0"/>
          <w:sz w:val="24"/>
        </w:rPr>
        <w:t>／</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lineRule="atLeast" w:line="480"/>
        <w:ind w:firstLine="480"/>
        <w:jc w:val="both"/>
      </w:pPr>
      <w:r>
        <w:rPr>
          <w:rFonts w:eastAsia="標楷體" w:ascii="Times New Roman" w:hAnsi="Times New Roman"/>
          <w:b w:val="0"/>
          <w:i w:val="0"/>
          <w:sz w:val="24"/>
        </w:rPr>
        <w:t>至此，本章已交代第四章三種 SOC 估測方法所需的主要基礎設施：統一的韌體載體（3.2）、可信的電流量測（3.3）、可靠的儀器自動化（3.4），以及乾淨且可累積的測試數據（3.5）。下一章將在此平台上，依「原理 → 演算法 → 嵌入式實作 → 實驗結果」的一致結構，分別實作並公平比較庫倫計數法、擴展卡爾曼濾波器與動態阻抗法。</w:t>
      </w:r>
    </w:p>
    <w:p>
      <w:pPr>
        <w:pStyle w:val="1"/>
      </w:pPr>
      <w:r>
        <w:rPr>
          <w:rFonts w:ascii="Times New Roman" w:hAnsi="Times New Roman" w:eastAsia="標楷體"/>
          <w:b/>
          <w:sz w:val="32"/>
          <w:color w:val="000000"/>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本章三種方法皆掛載於第三章所述之共同韌體骨架，替換的僅是最核心的估測模組，其餘量測路徑（INA226 校正後的電流／電壓）、時間基準（固定的系統節拍）、輸入輸出（每秒一次的狀態回報）完全一致，以確保比較之公平性。為使三法在同一座標上比較，先統一界定下列共同量與符號。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：微控制器端的 SOC 估測每秒更新一次（</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經校正後之電流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 xml:space="preserve">,k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 xml:space="preserve">SOC</w:t>
      </w:r>
      <w:r>
        <w:rPr>
          <w:rFonts w:eastAsia="標楷體" w:ascii="Cambria Math" w:hAnsi="Cambria Math"/>
          <w:sz w:val="24"/>
          <w:vertAlign w:val="subscript"/>
        </w:rPr>
        <w:t xml:space="preserve">truth</w:t>
      </w:r>
      <w:r>
        <w:rPr>
          <w:rFonts w:eastAsia="標楷體" w:ascii="Cambria Math" w:hAnsi="Cambria Math"/>
          <w:sz w:val="24"/>
        </w:rPr>
        <w:t xml:space="preserve">(t) = 1 -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dτ)/(q</w:t>
      </w:r>
      <w:r>
        <w:rPr>
          <w:rFonts w:eastAsia="標楷體" w:ascii="Cambria Math" w:hAnsi="Cambria Math"/>
          <w:sz w:val="24"/>
          <w:vertAlign w:val="subscript"/>
        </w:rPr>
        <w:t xml:space="preserve">full</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 2000</w:t>
      </w:r>
      <w:r>
        <w:rPr>
          <w:rFonts w:eastAsia="標楷體" w:ascii="Times New Roman" w:hAnsi="Times New Roman"/>
          <w:b w:val="0"/>
          <w:i w:val="0"/>
          <w:sz w:val="24"/>
        </w:rPr>
        <w:t xml:space="preserve"> mAh，</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 xml:space="preserve"> = 4.2</w:t>
      </w:r>
      <w:r>
        <w:rPr>
          <w:rFonts w:eastAsia="標楷體" w:ascii="Times New Roman" w:hAnsi="Times New Roman"/>
          <w:b w:val="0"/>
          <w:i w:val="0"/>
          <w:sz w:val="24"/>
        </w:rPr>
        <w:t xml:space="preserve"> V，</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cut</w:t>
      </w:r>
      <w:r>
        <w:rPr>
          <w:rFonts w:eastAsia="標楷體" w:ascii="Times New Roman" w:hAnsi="Times New Roman"/>
          <w:b w:val="0"/>
          <w:i w:val="0"/>
          <w:sz w:val="24"/>
        </w:rPr>
        <w:t xml:space="preserve">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 xml:space="preserve">SOC(t) = SOC(t</w:t>
      </w:r>
      <w:r>
        <w:rPr>
          <w:rFonts w:eastAsia="標楷體" w:ascii="Cambria Math" w:hAnsi="Cambria Math"/>
          <w:sz w:val="24"/>
          <w:vertAlign w:val="subscript"/>
        </w:rPr>
        <w:t xml:space="preserve">0</w:t>
      </w:r>
      <w:r>
        <w:rPr>
          <w:rFonts w:eastAsia="標楷體" w:ascii="Cambria Math" w:hAnsi="Cambria Math"/>
          <w:sz w:val="24"/>
        </w:rPr>
        <w:t xml:space="preserve">) - (1)/(C</w:t>
      </w:r>
      <w:r>
        <w:rPr>
          <w:rFonts w:eastAsia="標楷體" w:ascii="Cambria Math" w:hAnsi="Cambria Math"/>
          <w:sz w:val="24"/>
          <w:vertAlign w:val="subscript"/>
        </w:rPr>
        <w:t xml:space="preserve">rated</w:t>
      </w:r>
      <w:r>
        <w:rPr>
          <w:rFonts w:eastAsia="標楷體" w:ascii="Cambria Math" w:hAnsi="Cambria Math"/>
          <w:sz w:val="24"/>
        </w:rPr>
        <w:t xml:space="preserve">)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為初始 SOC、</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為電流（放電為正）。在本研究單一 NMC 電池、室溫條件下，充放電效率接近理想，積分式不另作效率折減，其長期影響併入漂移討論（4.1.4）。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在內的每一秒。其更新流程如圖 4-1 所示：每秒讀取一次校正後電流，乘以 </w:t>
      </w:r>
      <w:r>
        <w:rPr>
          <w:rFonts w:eastAsia="標楷體" w:ascii="Times New Roman" w:hAnsi="Times New Roman"/>
          <w:b w:val="0"/>
          <w:i w:val="0"/>
          <w:sz w:val="24"/>
        </w:rPr>
        <w:t>Δ t</w:t>
      </w:r>
      <w:r>
        <w:rPr>
          <w:rFonts w:eastAsia="標楷體" w:ascii="Times New Roman" w:hAnsi="Times New Roman"/>
          <w:b w:val="0"/>
          <w:i w:val="0"/>
          <w:sz w:val="24"/>
        </w:rPr>
        <w:t xml:space="preserve"> 得本週期電荷增量，累加至「已流出電荷」後，再以額定容量正規化並夾限得 SOC。</w:t>
      </w:r>
    </w:p>
    <w:p>
      <w:pPr>
        <w:spacing w:before="120" w:after="40"/>
        <w:jc w:val="center"/>
      </w:pPr>
      <w:r>
        <w:drawing>
          <wp:inline xmlns:a="http://schemas.openxmlformats.org/drawingml/2006/main" xmlns:pic="http://schemas.openxmlformats.org/drawingml/2006/picture">
            <wp:extent cx="4860000" cy="5900134"/>
            <wp:docPr id="3" name="Picture 3"/>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4860000" cy="5900134"/>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4-1</w:t>
      </w:r>
      <w:r>
        <w:rPr>
          <w:rFonts w:eastAsia="標楷體" w:ascii="Times New Roman" w:hAnsi="Times New Roman"/>
          <w:b w:val="0"/>
          <w:i w:val="0"/>
          <w:sz w:val="22"/>
        </w:rPr>
        <w:t xml:space="preserve">　庫倫計數法之 SOC 更新流程（每秒執行一次）</w:t>
      </w:r>
    </w:p>
    <w:p>
      <w:pPr>
        <w:spacing w:before="160" w:after="80" w:lineRule="atLeast" w:line="360"/>
        <w:jc w:val="left"/>
      </w:pPr>
      <w:r>
        <w:rPr>
          <w:rFonts w:eastAsia="標楷體" w:ascii="Times New Roman" w:hAnsi="Times New Roman"/>
          <w:b/>
          <w:i w:val="0"/>
          <w:sz w:val="26"/>
        </w:rPr>
        <w:t>4.1.3 嵌入式實作</w:t>
      </w:r>
    </w:p>
    <w:p>
      <w:pPr>
        <w:spacing w:lineRule="atLeast" w:line="480"/>
        <w:ind w:firstLine="480"/>
        <w:jc w:val="both"/>
      </w:pPr>
      <w:r>
        <w:rPr>
          <w:rFonts w:eastAsia="標楷體" w:ascii="Times New Roman" w:hAnsi="Times New Roman"/>
          <w:b w:val="0"/>
          <w:i w:val="0"/>
          <w:sz w:val="24"/>
        </w:rPr>
        <w:t>庫倫計數在微控制器上的實作是三種方法中最輕量的：每秒只做一次乘法與一次加法，把當下電流換算成這一秒用掉的電量並累加，需要時再換算成 SOC。它不需要查表、不需要矩陣運算，因此佔用的程式空間、記憶體與運算量都最少，構成後續 4.4 節資源比較的下限基準。實作時以足夠的精度累計電量，避免長時間累加造成的誤差，並把輸出的 SOC 限制在 0～100% 的合理範圍。</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庫倫計數的實驗結果同時驗證兩件事：其一為電流積分核心於本平台之自洽性（容量再現性），其二為其作為真值的有效範圍與漂移侷限。資料取自第三章跨輪測試協定累積之週期紀錄（rounds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三輪各倍率實測放電容量（庫倫積分，數據源為跨輪週期紀錄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mAh），佐證測試協定與 INA226 校正之穩定性。此「滿放容量」即 4.0 節 SOC 真值正規化所用之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修正將線性放大。週期紀錄中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 xml:space="preserve">SOC</w:t>
      </w:r>
      <w:r>
        <w:rPr>
          <w:rFonts w:eastAsia="標楷體" w:ascii="Times New Roman" w:hAnsi="Times New Roman"/>
          <w:b w:val="0"/>
          <w:i w:val="0"/>
          <w:sz w:val="24"/>
          <w:vertAlign w:val="subscript"/>
        </w:rPr>
        <w:t xml:space="preserve">truth</w:t>
      </w:r>
      <w:r>
        <w:rPr>
          <w:rFonts w:eastAsia="標楷體" w:ascii="Times New Roman" w:hAnsi="Times New Roman"/>
          <w:b w:val="0"/>
          <w:i w:val="0"/>
          <w:sz w:val="24"/>
        </w:rPr>
        <w:t xml:space="preserve">=100%</w:t>
      </w:r>
      <w:r>
        <w:rPr>
          <w:rFonts w:eastAsia="標楷體" w:ascii="Times New Roman" w:hAnsi="Times New Roman"/>
          <w:b w:val="0"/>
          <w:i w:val="0"/>
          <w:sz w:val="24"/>
        </w:rPr>
        <w:t xml:space="preserve">、以實測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 xml:space="preserve">SOC</w:t>
      </w:r>
      <w:r>
        <w:rPr>
          <w:rFonts w:eastAsia="標楷體" w:ascii="Times New Roman" w:hAnsi="Times New Roman"/>
          <w:b w:val="0"/>
          <w:i w:val="0"/>
          <w:sz w:val="24"/>
          <w:vertAlign w:val="subscript"/>
        </w:rPr>
        <w:t xml:space="preserve">truth</w:t>
      </w:r>
      <w:r>
        <w:rPr>
          <w:rFonts w:eastAsia="標楷體" w:ascii="Times New Roman" w:hAnsi="Times New Roman"/>
          <w:b w:val="0"/>
          <w:i w:val="0"/>
          <w:sz w:val="24"/>
        </w:rPr>
        <w:t xml:space="preserve">(t)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 xml:space="preserve">e</w:t>
      </w:r>
      <w:r>
        <w:rPr>
          <w:rFonts w:eastAsia="標楷體" w:ascii="Times New Roman" w:hAnsi="Times New Roman"/>
          <w:b w:val="0"/>
          <w:i w:val="0"/>
          <w:sz w:val="24"/>
          <w:vertAlign w:val="subscript"/>
        </w:rPr>
        <w:t xml:space="preserve">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b w:val="0"/>
          <w:i/>
          <w:color w:val="606060"/>
          <w:sz w:val="21"/>
        </w:rPr>
        <w:t>本節原理、狀態空間、演算法與嵌入式實作為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；4.2.5 之實驗結果依賴 (a) GITT 開路電壓對照表之建立、(b) PC 端 EKF 原型調參、(c) 嵌入式移植，三者於本稿時點尚在進行，數值結果一律標 </w:t>
      </w:r>
      <w:r>
        <w:rPr>
          <w:rFonts w:eastAsia="標楷體" w:ascii="Consolas" w:hAnsi="Consolas"/>
          <w:b w:val="0"/>
          <w:i/>
          <w:color w:val="606060"/>
          <w:sz w:val="19"/>
        </w:rPr>
        <w:t>[待測]</w:t>
      </w:r>
      <w:r>
        <w:rPr>
          <w:rFonts w:eastAsia="標楷體" w:ascii="Times New Roman" w:hAnsi="Times New Roman"/>
          <w:b w:val="0"/>
          <w:i/>
          <w:color w:val="606060"/>
          <w:sz w:val="21"/>
        </w:rPr>
        <w:t>。</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 xml:space="preserve">x = [SOC, 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 xml:space="preserve">y = 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 xml:space="preserve">SOĊ = -(1)/(C</w:t>
      </w:r>
      <w:r>
        <w:rPr>
          <w:rFonts w:eastAsia="標楷體" w:ascii="Cambria Math" w:hAnsi="Cambria Math"/>
          <w:sz w:val="24"/>
          <w:vertAlign w:val="subscript"/>
        </w:rPr>
        <w:t xml:space="preserve">rated</w:t>
      </w:r>
      <w:r>
        <w:rPr>
          <w:rFonts w:eastAsia="標楷體" w:ascii="Cambria Math" w:hAnsi="Cambria Math"/>
          <w:sz w:val="24"/>
        </w:rPr>
        <w:t xml:space="preserve">) I V̇</w:t>
      </w:r>
      <w:r>
        <w:rPr>
          <w:rFonts w:eastAsia="標楷體" w:ascii="Cambria Math" w:hAnsi="Cambria Math"/>
          <w:sz w:val="24"/>
          <w:vertAlign w:val="subscript"/>
        </w:rPr>
        <w:t xml:space="preserve">1</w:t>
      </w:r>
      <w:r>
        <w:rPr>
          <w:rFonts w:eastAsia="標楷體" w:ascii="Cambria Math" w:hAnsi="Cambria Math"/>
          <w:sz w:val="24"/>
        </w:rPr>
        <w:t xml:space="preserve"> = -(1)/(R</w:t>
      </w:r>
      <w:r>
        <w:rPr>
          <w:rFonts w:eastAsia="標楷體" w:ascii="Cambria Math" w:hAnsi="Cambria Math"/>
          <w:sz w:val="24"/>
          <w:vertAlign w:val="subscript"/>
        </w:rPr>
        <w:t xml:space="preserve">1</w:t>
      </w:r>
      <w:r>
        <w:rPr>
          <w:rFonts w:eastAsia="標楷體" w:ascii="Cambria Math" w:hAnsi="Cambria Math"/>
          <w:sz w:val="24"/>
        </w:rPr>
        <w:t xml:space="preserve"> C</w:t>
      </w:r>
      <w:r>
        <w:rPr>
          <w:rFonts w:eastAsia="標楷體" w:ascii="Cambria Math" w:hAnsi="Cambria Math"/>
          <w:sz w:val="24"/>
          <w:vertAlign w:val="subscript"/>
        </w:rPr>
        <w:t xml:space="preserve">1</w:t>
      </w:r>
      <w:r>
        <w:rPr>
          <w:rFonts w:eastAsia="標楷體" w:ascii="Cambria Math" w:hAnsi="Cambria Math"/>
          <w:sz w:val="24"/>
        </w:rPr>
        <w:t xml:space="preserve">) V</w:t>
      </w:r>
      <w:r>
        <w:rPr>
          <w:rFonts w:eastAsia="標楷體" w:ascii="Cambria Math" w:hAnsi="Cambria Math"/>
          <w:sz w:val="24"/>
          <w:vertAlign w:val="subscript"/>
        </w:rPr>
        <w:t xml:space="preserve">1</w:t>
      </w:r>
      <w:r>
        <w:rPr>
          <w:rFonts w:eastAsia="標楷體" w:ascii="Cambria Math" w:hAnsi="Cambria Math"/>
          <w:sz w:val="24"/>
        </w:rPr>
        <w:t xml:space="preserve"> + (1)/(C</w:t>
      </w:r>
      <w:r>
        <w:rPr>
          <w:rFonts w:eastAsia="標楷體" w:ascii="Cambria Math" w:hAnsi="Cambria Math"/>
          <w:sz w:val="24"/>
          <w:vertAlign w:val="subscript"/>
        </w:rPr>
        <w:t xml:space="preserve">1</w:t>
      </w:r>
      <w:r>
        <w:rPr>
          <w:rFonts w:eastAsia="標楷體" w:ascii="Cambria Math" w:hAnsi="Cambria Math"/>
          <w:sz w:val="24"/>
        </w:rPr>
        <w:t xml:space="preserve">) I 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 xml:space="preserve">x</w:t>
      </w:r>
      <w:r>
        <w:rPr>
          <w:rFonts w:eastAsia="標楷體" w:ascii="Cambria Math" w:hAnsi="Cambria Math"/>
          <w:sz w:val="24"/>
          <w:vertAlign w:val="subscript"/>
        </w:rPr>
        <w:t xml:space="preserve">k+1</w:t>
      </w:r>
      <w:r>
        <w:rPr>
          <w:rFonts w:eastAsia="標楷體" w:ascii="Cambria Math" w:hAnsi="Cambria Math"/>
          <w:sz w:val="24"/>
        </w:rPr>
        <w:t xml:space="preserve"> = 1 0 0 e^-Δ t / τ</w:t>
      </w:r>
      <w:r>
        <w:rPr>
          <w:rFonts w:eastAsia="標楷體" w:ascii="Cambria Math" w:hAnsi="Cambria Math"/>
          <w:sz w:val="24"/>
          <w:vertAlign w:val="subscript"/>
        </w:rPr>
        <w:t xml:space="preserve">1</w:t>
      </w:r>
      <w:r>
        <w:rPr>
          <w:rFonts w:eastAsia="標楷體" w:ascii="Cambria Math" w:hAnsi="Cambria Math"/>
          <w:sz w:val="24"/>
        </w:rPr>
        <w:t xml:space="preserve"> </w:t>
      </w:r>
      <w:r>
        <w:rPr>
          <w:rFonts w:eastAsia="標楷體" w:ascii="Cambria Math" w:hAnsi="Cambria Math"/>
          <w:sz w:val="24"/>
          <w:vertAlign w:val="subscript"/>
        </w:rPr>
        <w:t xml:space="preserve">A</w:t>
      </w:r>
      <w:r>
        <w:rPr>
          <w:rFonts w:eastAsia="標楷體" w:ascii="Cambria Math" w:hAnsi="Cambria Math"/>
          <w:sz w:val="24"/>
          <w:vertAlign w:val="subscript"/>
        </w:rPr>
        <w:t xml:space="preserve">k</w:t>
      </w:r>
      <w:r>
        <w:rPr>
          <w:rFonts w:eastAsia="標楷體" w:ascii="Cambria Math" w:hAnsi="Cambria Math"/>
          <w:sz w:val="24"/>
        </w:rPr>
        <w:t xml:space="preserve"> x</w:t>
      </w:r>
      <w:r>
        <w:rPr>
          <w:rFonts w:eastAsia="標楷體" w:ascii="Cambria Math" w:hAnsi="Cambria Math"/>
          <w:sz w:val="24"/>
          <w:vertAlign w:val="subscript"/>
        </w:rPr>
        <w:t xml:space="preserve">k</w:t>
      </w:r>
      <w:r>
        <w:rPr>
          <w:rFonts w:eastAsia="標楷體" w:ascii="Cambria Math" w:hAnsi="Cambria Math"/>
          <w:sz w:val="24"/>
        </w:rPr>
        <w:t xml:space="preserve"> + -Δ t / C</w:t>
      </w:r>
      <w:r>
        <w:rPr>
          <w:rFonts w:eastAsia="標楷體" w:ascii="Cambria Math" w:hAnsi="Cambria Math"/>
          <w:sz w:val="24"/>
          <w:vertAlign w:val="subscript"/>
        </w:rPr>
        <w:t xml:space="preserve">rated</w:t>
      </w:r>
      <w:r>
        <w:rPr>
          <w:rFonts w:eastAsia="標楷體" w:ascii="Cambria Math" w:hAnsi="Cambria Math"/>
          <w:sz w:val="24"/>
        </w:rPr>
        <w:t xml:space="preserve"> R</w:t>
      </w:r>
      <w:r>
        <w:rPr>
          <w:rFonts w:eastAsia="標楷體" w:ascii="Cambria Math" w:hAnsi="Cambria Math"/>
          <w:sz w:val="24"/>
          <w:vertAlign w:val="subscript"/>
        </w:rPr>
        <w:t xml:space="preserve">1</w:t>
      </w:r>
      <w:r>
        <w:rPr>
          <w:rFonts w:eastAsia="標楷體" w:ascii="Cambria Math" w:hAnsi="Cambria Math"/>
          <w:sz w:val="24"/>
        </w:rPr>
        <w:t xml:space="preserve">(1 - e^-Δ t/τ</w:t>
      </w:r>
      <w:r>
        <w:rPr>
          <w:rFonts w:eastAsia="標楷體" w:ascii="Cambria Math" w:hAnsi="Cambria Math"/>
          <w:sz w:val="24"/>
          <w:vertAlign w:val="subscript"/>
        </w:rPr>
        <w:t xml:space="preserve">1</w:t>
      </w:r>
      <w:r>
        <w:rPr>
          <w:rFonts w:eastAsia="標楷體" w:ascii="Cambria Math" w:hAnsi="Cambria Math"/>
          <w:sz w:val="24"/>
        </w:rPr>
        <w:t xml:space="preserve">) </w:t>
      </w:r>
      <w:r>
        <w:rPr>
          <w:rFonts w:eastAsia="標楷體" w:ascii="Cambria Math" w:hAnsi="Cambria Math"/>
          <w:sz w:val="24"/>
          <w:vertAlign w:val="subscript"/>
        </w:rPr>
        <w:t xml:space="preserve">B</w:t>
      </w:r>
      <w:r>
        <w:rPr>
          <w:rFonts w:eastAsia="標楷體" w:ascii="Cambria Math" w:hAnsi="Cambria Math"/>
          <w:sz w:val="24"/>
          <w:vertAlign w:val="subscript"/>
        </w:rPr>
        <w:t xml:space="preserve">k</w:t>
      </w:r>
      <w:r>
        <w:rPr>
          <w:rFonts w:eastAsia="標楷體" w:ascii="Cambria Math" w:hAnsi="Cambria Math"/>
          <w:sz w:val="24"/>
        </w:rPr>
        <w:t xml:space="preserve"> I</w:t>
      </w:r>
      <w:r>
        <w:rPr>
          <w:rFonts w:eastAsia="標楷體" w:ascii="Cambria Math" w:hAnsi="Cambria Math"/>
          <w:sz w:val="24"/>
          <w:vertAlign w:val="subscript"/>
        </w:rPr>
        <w:t xml:space="preserve">k</w:t>
      </w:r>
      <w:r>
        <w:rPr>
          <w:rFonts w:eastAsia="標楷體" w:ascii="Cambria Math" w:hAnsi="Cambria Math"/>
          <w:sz w:val="24"/>
        </w:rPr>
        <w:t xml:space="preserve"> + w</w:t>
      </w:r>
      <w:r>
        <w:rPr>
          <w:rFonts w:eastAsia="標楷體" w:ascii="Cambria Math" w:hAnsi="Cambria Math"/>
          <w:sz w:val="24"/>
          <w:vertAlign w:val="subscript"/>
        </w:rPr>
        <w:t xml:space="preserve">k</w:t>
      </w:r>
    </w:p>
    <w:p>
      <w:pPr>
        <w:spacing w:before="120" w:after="120" w:lineRule="atLeast" w:line="480"/>
        <w:jc w:val="center"/>
      </w:pPr>
      <w:r>
        <w:rPr>
          <w:rFonts w:eastAsia="標楷體" w:ascii="Cambria Math" w:hAnsi="Cambria Math"/>
          <w:sz w:val="24"/>
        </w:rPr>
        <w:t xml:space="preserve">y</w:t>
      </w:r>
      <w:r>
        <w:rPr>
          <w:rFonts w:eastAsia="標楷體" w:ascii="Cambria Math" w:hAnsi="Cambria Math"/>
          <w:sz w:val="24"/>
          <w:vertAlign w:val="subscript"/>
        </w:rPr>
        <w:t xml:space="preserve">k</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w:t>
      </w:r>
      <w:r>
        <w:rPr>
          <w:rFonts w:eastAsia="標楷體" w:ascii="Cambria Math" w:hAnsi="Cambria Math"/>
          <w:sz w:val="24"/>
          <w:vertAlign w:val="subscript"/>
        </w:rPr>
        <w:t xml:space="preserve">k</w:t>
      </w:r>
      <w:r>
        <w:rPr>
          <w:rFonts w:eastAsia="標楷體" w:ascii="Cambria Math" w:hAnsi="Cambria Math"/>
          <w:sz w:val="24"/>
        </w:rPr>
        <w:t xml:space="preserve">) - I</w:t>
      </w:r>
      <w:r>
        <w:rPr>
          <w:rFonts w:eastAsia="標楷體" w:ascii="Cambria Math" w:hAnsi="Cambria Math"/>
          <w:sz w:val="24"/>
          <w:vertAlign w:val="subscript"/>
        </w:rPr>
        <w:t xml:space="preserve">k</w:t>
      </w:r>
      <w:r>
        <w:rPr>
          <w:rFonts w:eastAsia="標楷體" w:ascii="Cambria Math" w:hAnsi="Cambria Math"/>
          <w:sz w:val="24"/>
        </w:rPr>
        <w:t xml:space="preserve">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r>
        <w:rPr>
          <w:rFonts w:eastAsia="標楷體" w:ascii="Cambria Math" w:hAnsi="Cambria Math"/>
          <w:sz w:val="24"/>
        </w:rPr>
        <w:t xml:space="preserve">,k + v</w:t>
      </w:r>
      <w:r>
        <w:rPr>
          <w:rFonts w:eastAsia="標楷體" w:ascii="Cambria Math" w:hAnsi="Cambria Math"/>
          <w:sz w:val="24"/>
          <w:vertAlign w:val="subscript"/>
        </w:rPr>
        <w:t xml:space="preserve">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 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 xml:space="preserve">e^-Δ t/τ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。本研究以開路電壓特性量測（GITT 標準協定 [5]）建立之 pseudo-OCV 表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pseudo</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 xml:space="preserve">C</w:t>
      </w:r>
      <w:r>
        <w:rPr>
          <w:rFonts w:eastAsia="標楷體" w:ascii="Cambria Math" w:hAnsi="Cambria Math"/>
          <w:sz w:val="24"/>
          <w:vertAlign w:val="subscript"/>
        </w:rPr>
        <w:t xml:space="preserve">k</w:t>
      </w:r>
      <w:r>
        <w:rPr>
          <w:rFonts w:eastAsia="標楷體" w:ascii="Cambria Math" w:hAnsi="Cambria Math"/>
          <w:sz w:val="24"/>
        </w:rPr>
        <w:t xml:space="preserve"> = (∂ y)/(∂ x)|</w:t>
      </w:r>
      <w:r>
        <w:rPr>
          <w:rFonts w:eastAsia="標楷體" w:ascii="Cambria Math" w:hAnsi="Cambria Math"/>
          <w:sz w:val="24"/>
          <w:vertAlign w:val="subscript"/>
        </w:rPr>
        <w:t xml:space="preserve">x</w:t>
      </w:r>
      <w:r>
        <w:rPr>
          <w:rFonts w:eastAsia="標楷體" w:ascii="Cambria Math" w:hAnsi="Cambria Math"/>
          <w:sz w:val="24"/>
        </w:rPr>
        <w:t xml:space="preserve">̂</w:t>
      </w:r>
      <w:r>
        <w:rPr>
          <w:rFonts w:eastAsia="標楷體" w:ascii="Cambria Math" w:hAnsi="Cambria Math"/>
          <w:sz w:val="24"/>
          <w:vertAlign w:val="subscript"/>
        </w:rPr>
        <w:t xml:space="preserve">k</w:t>
      </w:r>
      <w:r>
        <w:rPr>
          <w:rFonts w:eastAsia="標楷體" w:ascii="Cambria Math" w:hAnsi="Cambria Math"/>
          <w:sz w:val="24"/>
        </w:rPr>
        <w:t xml:space="preserve"> = (∂ V</w:t>
      </w:r>
      <w:r>
        <w:rPr>
          <w:rFonts w:eastAsia="標楷體" w:ascii="Cambria Math" w:hAnsi="Cambria Math"/>
          <w:sz w:val="24"/>
          <w:vertAlign w:val="subscript"/>
        </w:rPr>
        <w:t xml:space="preserve">OC</w:t>
      </w:r>
      <w:r>
        <w:rPr>
          <w:rFonts w:eastAsia="標楷體" w:ascii="Cambria Math" w:hAnsi="Cambria Math"/>
          <w:sz w:val="24"/>
        </w:rPr>
        <w:t xml:space="preserve">)/(∂ SOC)|</w:t>
      </w:r>
      <w:r>
        <w:rPr>
          <w:rFonts w:eastAsia="標楷體" w:ascii="Cambria Math" w:hAnsi="Cambria Math"/>
          <w:sz w:val="24"/>
          <w:vertAlign w:val="subscript"/>
        </w:rPr>
        <w:t xml:space="preserve">SOC</w:t>
      </w:r>
      <w:r>
        <w:rPr>
          <w:rFonts w:eastAsia="標楷體" w:ascii="Cambria Math" w:hAnsi="Cambria Math"/>
          <w:sz w:val="24"/>
        </w:rPr>
        <w:t xml:space="preserve">̂</w:t>
      </w:r>
      <w:r>
        <w:rPr>
          <w:rFonts w:eastAsia="標楷體" w:ascii="Cambria Math" w:hAnsi="Cambria Math"/>
          <w:sz w:val="24"/>
          <w:vertAlign w:val="subscript"/>
        </w:rPr>
        <w:t xml:space="preserve">k</w:t>
      </w:r>
      <w:r>
        <w:rPr>
          <w:rFonts w:eastAsia="標楷體" w:ascii="Cambria Math" w:hAnsi="Cambria Math"/>
          <w:sz w:val="24"/>
        </w:rPr>
        <w:t xml:space="preserve">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 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每個週期（每秒）執行一次「預測—更新」遞迴，流程如圖 4-2 所示：先由電流以狀態方程做時間更新（得到狀態與不確定度的預測），再以實際量到的端電壓做量測更新（計算修正增益、把預測拉回實際），輸出限幅後的 SOC 並進入下一週期。</w:t>
      </w:r>
    </w:p>
    <w:p>
      <w:pPr>
        <w:spacing w:before="120" w:after="40"/>
        <w:jc w:val="center"/>
      </w:pPr>
      <w:r>
        <w:drawing>
          <wp:inline xmlns:a="http://schemas.openxmlformats.org/drawingml/2006/main" xmlns:pic="http://schemas.openxmlformats.org/drawingml/2006/picture">
            <wp:extent cx="4860000" cy="5008775"/>
            <wp:docPr id="4" name="Picture 4"/>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4860000" cy="5008775"/>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4-2</w:t>
      </w:r>
      <w:r>
        <w:rPr>
          <w:rFonts w:eastAsia="標楷體" w:ascii="Times New Roman" w:hAnsi="Times New Roman"/>
          <w:b w:val="0"/>
          <w:i w:val="0"/>
          <w:sz w:val="22"/>
        </w:rPr>
        <w:t xml:space="preserve">　EKF 之預測—更新遞迴流程（一階 RC，狀態 [SOC, V1]）</w:t>
      </w:r>
    </w:p>
    <w:p>
      <w:pPr>
        <w:spacing w:lineRule="atLeast" w:line="480"/>
        <w:ind w:firstLine="480"/>
        <w:jc w:val="both"/>
      </w:pPr>
      <w:r>
        <w:rPr>
          <w:rFonts w:eastAsia="標楷體" w:ascii="Times New Roman" w:hAnsi="Times New Roman"/>
          <w:b w:val="0"/>
          <w:i w:val="0"/>
          <w:sz w:val="24"/>
        </w:rPr>
        <w:t>此問題的狀態只有兩維、觀測只有一維，因此增益計算僅需一次純量除法、無需一般矩陣求逆——這是擴展卡爾曼濾波器能在微控制器上即時運行的關鍵。其中電池內阻與極化等模型參數，由放電擾動段的電壓階躍與回彈以最小平方辨識；過程雜訊與量測雜訊則為調參項。</w:t>
      </w:r>
      <w:r>
        <w:rPr>
          <w:rFonts w:eastAsia="標楷體" w:ascii="Consolas" w:hAnsi="Consolas"/>
          <w:b w:val="0"/>
          <w:i w:val="0"/>
          <w:sz w:val="21"/>
        </w:rPr>
        <w:t>[待測]</w:t>
      </w:r>
      <w:r>
        <w:rPr>
          <w:rFonts w:eastAsia="標楷體" w:ascii="Times New Roman" w:hAnsi="Times New Roman"/>
          <w:b w:val="0"/>
          <w:i w:val="0"/>
          <w:sz w:val="24"/>
        </w:rPr>
        <w:t xml:space="preserve"> 上述模型參數與雜訊設定之最終值待 PC 端原型完成後填入。</w:t>
      </w:r>
    </w:p>
    <w:p>
      <w:pPr>
        <w:spacing w:before="160" w:after="80" w:lineRule="atLeast" w:line="360"/>
        <w:jc w:val="left"/>
      </w:pPr>
      <w:r>
        <w:rPr>
          <w:rFonts w:eastAsia="標楷體" w:ascii="Times New Roman" w:hAnsi="Times New Roman"/>
          <w:b/>
          <w:i w:val="0"/>
          <w:sz w:val="26"/>
        </w:rPr>
        <w:t>4.2.4 嵌入式實作</w:t>
      </w:r>
    </w:p>
    <w:p>
      <w:pPr>
        <w:spacing w:lineRule="atLeast" w:line="480"/>
        <w:ind w:firstLine="480"/>
        <w:jc w:val="both"/>
      </w:pPr>
      <w:r>
        <w:rPr>
          <w:rFonts w:eastAsia="標楷體" w:ascii="Times New Roman" w:hAnsi="Times New Roman"/>
          <w:b w:val="0"/>
          <w:i w:val="0"/>
          <w:sz w:val="24"/>
        </w:rPr>
        <w:t>EKF 在微控制器上的負擔明顯高於庫倫計數：它需要一張開路電壓對照表，並在每秒做一次小型的「預測—更新」運算與一次端電壓比對來修正估測。由於本研究所用微控制器沒有硬體浮點運算單元，這些運算改以軟體模擬完成，因此耗用的運算時間最長、佔用的程式空間與記憶體也最大——這正是 4.4 節要量化的「以較高資源換取較佳精度與強健性」之代價。實作上採用數值穩定的更新方式並把估測值限制在合理範圍，確保長時間運行不發散。</w:t>
      </w:r>
    </w:p>
    <w:p>
      <w:pPr>
        <w:spacing w:before="160" w:after="80" w:lineRule="atLeast" w:line="360"/>
        <w:jc w:val="left"/>
      </w:pPr>
      <w:r>
        <w:rPr>
          <w:rFonts w:eastAsia="標楷體" w:ascii="Times New Roman" w:hAnsi="Times New Roman"/>
          <w:b/>
          <w:i w:val="0"/>
          <w:sz w:val="26"/>
        </w:rPr>
        <w:t>4.2.5 實驗結果</w:t>
      </w:r>
    </w:p>
    <w:p>
      <w:pPr>
        <w:spacing w:lineRule="atLeast" w:line="320" w:before="40" w:after="40"/>
        <w:ind w:left="360"/>
        <w:jc w:val="left"/>
      </w:pPr>
      <w:r>
        <w:rPr>
          <w:rFonts w:eastAsia="標楷體" w:ascii="Times New Roman" w:hAnsi="Times New Roman"/>
          <w:b w:val="0"/>
          <w:i/>
          <w:color w:val="606060"/>
          <w:sz w:val="21"/>
        </w:rPr>
        <w:t>以下結果依賴 GITT OCV 表、PC 原型與 STM32 移植，本稿時點尚未取得，</w:t>
      </w:r>
      <w:r>
        <w:rPr>
          <w:rFonts w:eastAsia="標楷體" w:ascii="Times New Roman" w:hAnsi="Times New Roman"/>
          <w:b/>
          <w:i/>
          <w:color w:val="606060"/>
          <w:sz w:val="21"/>
        </w:rPr>
        <w:t>全部標 `[待測]`，不填虛構數值</w:t>
      </w:r>
      <w:r>
        <w:rPr>
          <w:rFonts w:eastAsia="標楷體" w:ascii="Times New Roman" w:hAnsi="Times New Roman"/>
          <w:b w:val="0"/>
          <w:i/>
          <w:color w:val="606060"/>
          <w:sz w:val="21"/>
        </w:rPr>
        <w:t>。</w:t>
      </w:r>
    </w:p>
    <w:p>
      <w:pPr>
        <w:spacing w:lineRule="atLeast" w:line="480"/>
        <w:ind w:firstLine="480"/>
        <w:jc w:val="both"/>
      </w:pPr>
      <w:r>
        <w:rPr>
          <w:rFonts w:eastAsia="標楷體" w:ascii="Times New Roman" w:hAnsi="Times New Roman"/>
          <w:b/>
          <w:i w:val="0"/>
          <w:sz w:val="24"/>
        </w:rPr>
        <w:t>OCV 表（前置產物）</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GITT 雙向 pseudo-OCV 表（SOC ×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disch</w:t>
      </w:r>
      <w:r>
        <w:rPr>
          <w:rFonts w:eastAsia="標楷體" w:ascii="Times New Roman" w:hAnsi="Times New Roman"/>
          <w:b w:val="0"/>
          <w:i w:val="0"/>
          <w:sz w:val="24"/>
        </w:rPr>
        <w:t xml:space="preserve"> ×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chg</w:t>
      </w:r>
      <w:r>
        <w:rPr>
          <w:rFonts w:eastAsia="標楷體" w:ascii="Times New Roman" w:hAnsi="Times New Roman"/>
          <w:b w:val="0"/>
          <w:i w:val="0"/>
          <w:sz w:val="24"/>
        </w:rPr>
        <w:t xml:space="preserve"> ×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pseudo</w:t>
      </w:r>
      <w:r>
        <w:rPr>
          <w:rFonts w:eastAsia="標楷體" w:ascii="Times New Roman" w:hAnsi="Times New Roman"/>
          <w:b w:val="0"/>
          <w:i w:val="0"/>
          <w:sz w:val="24"/>
        </w:rPr>
        <w:t xml:space="preserve">，源 </w:t>
      </w:r>
      <w:r>
        <w:rPr>
          <w:rFonts w:eastAsia="標楷體" w:ascii="Consolas" w:hAnsi="Consolas"/>
          <w:b w:val="0"/>
          <w:i w:val="0"/>
          <w:sz w:val="21"/>
        </w:rPr>
        <w:t xml:space="preserve">ocv</w:t>
      </w:r>
      <w:r>
        <w:rPr>
          <w:rFonts w:eastAsia="標楷體" w:ascii="Consolas" w:hAnsi="Consolas"/>
          <w:b w:val="0"/>
          <w:i w:val="0"/>
          <w:sz w:val="21"/>
          <w:vertAlign w:val="subscript"/>
        </w:rPr>
        <w:t xml:space="preserve">table</w:t>
      </w:r>
      <w:r>
        <w:rPr>
          <w:rFonts w:eastAsia="標楷體" w:ascii="Consolas" w:hAnsi="Consolas"/>
          <w:b w:val="0"/>
          <w:i w:val="0"/>
          <w:sz w:val="21"/>
        </w:rPr>
        <w:t xml:space="preserve">_*.csv</w:t>
      </w:r>
      <w:r>
        <w:rPr>
          <w:rFonts w:eastAsia="標楷體" w:ascii="Times New Roman" w:hAnsi="Times New Roman"/>
          <w:b w:val="0"/>
          <w:i w:val="0"/>
          <w:sz w:val="24"/>
        </w:rPr>
        <w:t>），及其 1% 細化曲線與斜率。</w:t>
      </w:r>
    </w:p>
    <w:p>
      <w:pPr>
        <w:spacing w:lineRule="atLeast" w:line="480"/>
        <w:ind w:firstLine="480"/>
        <w:jc w:val="both"/>
      </w:pPr>
      <w:r>
        <w:rPr>
          <w:rFonts w:eastAsia="標楷體" w:ascii="Times New Roman" w:hAnsi="Times New Roman"/>
          <w:b/>
          <w:i w:val="0"/>
          <w:sz w:val="24"/>
        </w:rPr>
        <w:t>標稱工況精度</w:t>
      </w:r>
      <w:r>
        <w:rPr>
          <w:rFonts w:eastAsia="標楷體" w:ascii="Times New Roman" w:hAnsi="Times New Roman"/>
          <w:b w:val="0"/>
          <w:i w:val="0"/>
          <w:sz w:val="24"/>
        </w:rPr>
        <w:t>：對 0.5C／1.0C／1.5C／2.0C 各放電 cycle，以 4.0 節框架計算 EKF 之 RMSE／MAE／</w:t>
      </w:r>
      <w:r>
        <w:rPr>
          <w:rFonts w:eastAsia="標楷體" w:ascii="Times New Roman" w:hAnsi="Times New Roman"/>
          <w:b w:val="0"/>
          <w:i w:val="0"/>
          <w:sz w:val="24"/>
        </w:rPr>
        <w:t xml:space="preserve">e</w:t>
      </w:r>
      <w:r>
        <w:rPr>
          <w:rFonts w:eastAsia="標楷體" w:ascii="Times New Roman" w:hAnsi="Times New Roman"/>
          <w:b w:val="0"/>
          <w:i w:val="0"/>
          <w:sz w:val="24"/>
          <w:vertAlign w:val="subscript"/>
        </w:rPr>
        <w:t xml:space="preserve">max</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數值。</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1505"/>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2795"/>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r>
      <w:tr>
        <w:tc>
          <w:tcPr>
            <w:tcW w:type="dxa" w:w="860"/>
            <w:vAlign w:val="center"/>
          </w:tcPr>
          <w:p>
            <w:pPr>
              <w:spacing w:before="20" w:after="20" w:lineRule="atLeast" w:line="280"/>
              <w:jc w:val="right"/>
            </w:pPr>
            <w:r>
              <w:rPr>
                <w:rFonts w:eastAsia="標楷體" w:ascii="Times New Roman" w:hAnsi="Times New Roman"/>
                <w:b w:val="0"/>
                <w:i w:val="0"/>
                <w:sz w:val="21"/>
              </w:rPr>
              <w:t>0.5C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2.0C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4-2</w:t>
      </w:r>
      <w:r>
        <w:rPr>
          <w:rFonts w:eastAsia="標楷體" w:ascii="Times New Roman" w:hAnsi="Times New Roman"/>
          <w:b w:val="0"/>
          <w:i w:val="0"/>
          <w:sz w:val="22"/>
        </w:rPr>
        <w:t xml:space="preserve">　EKF 各倍率精度（待 PC 原型／STM32 移植後實測填入）</w:t>
      </w:r>
    </w:p>
    <w:p>
      <w:pPr>
        <w:spacing w:lineRule="atLeast" w:line="480"/>
        <w:ind w:firstLine="480"/>
        <w:jc w:val="both"/>
      </w:pPr>
      <w:r>
        <w:rPr>
          <w:rFonts w:eastAsia="標楷體" w:ascii="Times New Roman" w:hAnsi="Times New Roman"/>
          <w:b/>
          <w:i w:val="0"/>
          <w:sz w:val="24"/>
        </w:rPr>
        <w:t>初值錯誤收斂</w:t>
      </w:r>
      <w:r>
        <w:rPr>
          <w:rFonts w:eastAsia="標楷體" w:ascii="Times New Roman" w:hAnsi="Times New Roman"/>
          <w:b w:val="0"/>
          <w:i w:val="0"/>
          <w:sz w:val="24"/>
        </w:rPr>
        <w:t xml:space="preserve">：刻意以 </w:t>
      </w:r>
      <w:r>
        <w:rPr>
          <w:rFonts w:eastAsia="標楷體" w:ascii="Times New Roman" w:hAnsi="Times New Roman"/>
          <w:b w:val="0"/>
          <w:i w:val="0"/>
          <w:sz w:val="24"/>
        </w:rPr>
        <w:t xml:space="preserve">SOĈ</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 = 80%</w:t>
      </w:r>
      <w:r>
        <w:rPr>
          <w:rFonts w:eastAsia="標楷體" w:ascii="Times New Roman" w:hAnsi="Times New Roman"/>
          <w:b w:val="0"/>
          <w:i w:val="0"/>
          <w:sz w:val="24"/>
        </w:rPr>
        <w:t xml:space="preserve">（真值 100%）起步，觀察誤差收斂軌跡與 </w:t>
      </w:r>
      <w:r>
        <w:rPr>
          <w:rFonts w:eastAsia="標楷體" w:ascii="Times New Roman" w:hAnsi="Times New Roman"/>
          <w:b w:val="0"/>
          <w:i w:val="0"/>
          <w:sz w:val="24"/>
        </w:rPr>
        <w:t xml:space="preserve">t</w:t>
      </w:r>
      <w:r>
        <w:rPr>
          <w:rFonts w:eastAsia="標楷體" w:ascii="Times New Roman" w:hAnsi="Times New Roman"/>
          <w:b w:val="0"/>
          <w:i w:val="0"/>
          <w:sz w:val="24"/>
          <w:vertAlign w:val="subscript"/>
        </w:rPr>
        <w:t xml:space="preserve">conv</w:t>
      </w:r>
      <w:r>
        <w:rPr>
          <w:rFonts w:eastAsia="標楷體" w:ascii="Times New Roman" w:hAnsi="Times New Roman"/>
          <w:b w:val="0"/>
          <w:i w:val="0"/>
          <w:sz w:val="24"/>
        </w:rPr>
        <w:t>，驗證 EKF 相對庫倫計數之核心優勢。</w:t>
      </w:r>
      <w:r>
        <w:rPr>
          <w:rFonts w:eastAsia="標楷體" w:ascii="Consolas" w:hAnsi="Consolas"/>
          <w:b w:val="0"/>
          <w:i w:val="0"/>
          <w:sz w:val="21"/>
        </w:rPr>
        <w:t>[待測]</w:t>
      </w:r>
      <w:r>
        <w:rPr>
          <w:rFonts w:eastAsia="標楷體" w:ascii="Times New Roman" w:hAnsi="Times New Roman"/>
          <w:b w:val="0"/>
          <w:i w:val="0"/>
          <w:sz w:val="24"/>
        </w:rPr>
        <w:t xml:space="preserve"> 收斂曲線與時間。</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b w:val="0"/>
          <w:i/>
          <w:color w:val="606060"/>
          <w:sz w:val="21"/>
        </w:rPr>
        <w:t>本節原理、演算法與嵌入式實作為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；4.3.4 之 </w:t>
      </w:r>
      <w:r>
        <w:rPr>
          <w:rFonts w:eastAsia="標楷體" w:ascii="Times New Roman" w:hAnsi="Times New Roman"/>
          <w:b w:val="0"/>
          <w:i/>
          <w:color w:val="606060"/>
          <w:sz w:val="21"/>
        </w:rPr>
        <w:t>Δ V/Δ I</w:t>
      </w:r>
      <w:r>
        <w:rPr>
          <w:rFonts w:eastAsia="標楷體" w:ascii="Times New Roman" w:hAnsi="Times New Roman"/>
          <w:b w:val="0"/>
          <w:i/>
          <w:color w:val="606060"/>
          <w:sz w:val="21"/>
        </w:rPr>
        <w:t>–SOC 二次擬合係數與「以擬合反推 SOC 之逐點精度」</w:t>
      </w:r>
      <w:r>
        <w:rPr>
          <w:rFonts w:eastAsia="標楷體" w:ascii="Times New Roman" w:hAnsi="Times New Roman"/>
          <w:b/>
          <w:i/>
          <w:color w:val="606060"/>
          <w:sz w:val="21"/>
        </w:rPr>
        <w:t>均已由既有擾動數據實測算出</w:t>
      </w:r>
      <w:r>
        <w:rPr>
          <w:rFonts w:eastAsia="標楷體" w:ascii="Times New Roman" w:hAnsi="Times New Roman"/>
          <w:b w:val="0"/>
          <w:i/>
          <w:color w:val="606060"/>
          <w:sz w:val="21"/>
        </w:rPr>
        <w:t>（fresh-cell rounds 1–3，各倍率反推 RMSE 約 6～10%）；僅韌體移植與三方法整體比較待後續。</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 [1] 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 xml:space="preserve">Z</w:t>
      </w:r>
      <w:r>
        <w:rPr>
          <w:rFonts w:eastAsia="標楷體" w:ascii="Cambria Math" w:hAnsi="Cambria Math"/>
          <w:sz w:val="24"/>
          <w:vertAlign w:val="subscript"/>
        </w:rPr>
        <w:t xml:space="preserve">dyn</w:t>
      </w:r>
      <w:r>
        <w:rPr>
          <w:rFonts w:eastAsia="標楷體" w:ascii="Cambria Math" w:hAnsi="Cambria Math"/>
          <w:sz w:val="24"/>
        </w:rPr>
        <w:t xml:space="preserve"> = (Δ V)/(Δ I) = (V</w:t>
      </w:r>
      <w:r>
        <w:rPr>
          <w:rFonts w:eastAsia="標楷體" w:ascii="Cambria Math" w:hAnsi="Cambria Math"/>
          <w:sz w:val="24"/>
          <w:vertAlign w:val="subscript"/>
        </w:rPr>
        <w:t xml:space="preserve">1</w:t>
      </w:r>
      <w:r>
        <w:rPr>
          <w:rFonts w:eastAsia="標楷體" w:ascii="Cambria Math" w:hAnsi="Cambria Math"/>
          <w:sz w:val="24"/>
        </w:rPr>
        <w:t xml:space="preserve"> - V</w:t>
      </w:r>
      <w:r>
        <w:rPr>
          <w:rFonts w:eastAsia="標楷體" w:ascii="Cambria Math" w:hAnsi="Cambria Math"/>
          <w:sz w:val="24"/>
          <w:vertAlign w:val="subscript"/>
        </w:rPr>
        <w:t xml:space="preserve">2</w:t>
      </w:r>
      <w:r>
        <w:rPr>
          <w:rFonts w:eastAsia="標楷體" w:ascii="Cambria Math" w:hAnsi="Cambria Math"/>
          <w:sz w:val="24"/>
        </w:rPr>
        <w:t xml:space="preserve">)/(I</w:t>
      </w:r>
      <w:r>
        <w:rPr>
          <w:rFonts w:eastAsia="標楷體" w:ascii="Cambria Math" w:hAnsi="Cambria Math"/>
          <w:sz w:val="24"/>
          <w:vertAlign w:val="subscript"/>
        </w:rPr>
        <w:t xml:space="preserve">1</w:t>
      </w:r>
      <w:r>
        <w:rPr>
          <w:rFonts w:eastAsia="標楷體" w:ascii="Cambria Math" w:hAnsi="Cambria Math"/>
          <w:sz w:val="24"/>
        </w:rPr>
        <w:t xml:space="preserve"> - I</w:t>
      </w:r>
      <w:r>
        <w:rPr>
          <w:rFonts w:eastAsia="標楷體" w:ascii="Cambria Math" w:hAnsi="Cambria Math"/>
          <w:sz w:val="24"/>
          <w:vertAlign w:val="subscript"/>
        </w:rPr>
        <w:t xml:space="preserve">2</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對 SOC 之變化率正負判別位於曲線哪一側以取唯一解 [1]。</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3.5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lineRule="atLeast" w:line="480"/>
        <w:ind w:firstLine="480"/>
        <w:jc w:val="both"/>
      </w:pPr>
      <w:r>
        <w:rPr>
          <w:rFonts w:eastAsia="標楷體" w:ascii="Times New Roman" w:hAnsi="Times New Roman"/>
          <w:b w:val="0"/>
          <w:i w:val="0"/>
          <w:sz w:val="24"/>
        </w:rPr>
        <w:t xml:space="preserve">動態阻抗法分為「離線建表」與「即時估測」兩階段，流程如圖 4-3 所示。離線階段（在電腦上做一次）對每個擾動事件算出 </w:t>
      </w:r>
      <w:r>
        <w:rPr>
          <w:rFonts w:eastAsia="標楷體" w:ascii="Times New Roman" w:hAnsi="Times New Roman"/>
          <w:b w:val="0"/>
          <w:i w:val="0"/>
          <w:sz w:val="24"/>
        </w:rPr>
        <w:t>Δ V/Δ I</w:t>
      </w:r>
      <w:r>
        <w:rPr>
          <w:rFonts w:eastAsia="標楷體" w:ascii="Times New Roman" w:hAnsi="Times New Roman"/>
          <w:b w:val="0"/>
          <w:i w:val="0"/>
          <w:sz w:val="24"/>
        </w:rPr>
        <w:t xml:space="preserve">，並配對該時刻的 SOC，累積散點後擬合二次曲線，得係數 </w:t>
      </w:r>
      <w:r>
        <w:rPr>
          <w:rFonts w:eastAsia="標楷體" w:ascii="Times New Roman" w:hAnsi="Times New Roman"/>
          <w:b w:val="0"/>
          <w:i w:val="0"/>
          <w:sz w:val="24"/>
        </w:rPr>
        <w:t>a, b, c</w:t>
      </w:r>
      <w:r>
        <w:rPr>
          <w:rFonts w:eastAsia="標楷體" w:ascii="Times New Roman" w:hAnsi="Times New Roman"/>
          <w:b w:val="0"/>
          <w:i w:val="0"/>
          <w:sz w:val="24"/>
        </w:rPr>
        <w:t xml:space="preserve">，存入晶片。即時階段（晶片上）於每次偵測到擾動事件時量得 </w:t>
      </w:r>
      <w:r>
        <w:rPr>
          <w:rFonts w:eastAsia="標楷體" w:ascii="Times New Roman" w:hAnsi="Times New Roman"/>
          <w:b w:val="0"/>
          <w:i w:val="0"/>
          <w:sz w:val="24"/>
        </w:rPr>
        <w:t>Δ V/Δ I</w:t>
      </w:r>
      <w:r>
        <w:rPr>
          <w:rFonts w:eastAsia="標楷體" w:ascii="Times New Roman" w:hAnsi="Times New Roman"/>
          <w:b w:val="0"/>
          <w:i w:val="0"/>
          <w:sz w:val="24"/>
        </w:rPr>
        <w:t>，代入二次式求解，再依曲線位置挑出唯一解。</w:t>
      </w:r>
    </w:p>
    <w:p>
      <w:pPr>
        <w:spacing w:before="120" w:after="40"/>
        <w:jc w:val="center"/>
      </w:pPr>
      <w:r>
        <w:drawing>
          <wp:inline xmlns:a="http://schemas.openxmlformats.org/drawingml/2006/main" xmlns:pic="http://schemas.openxmlformats.org/drawingml/2006/picture">
            <wp:extent cx="4837851" cy="6480000"/>
            <wp:docPr id="5" name="Picture 5"/>
            <wp:cNvGraphicFramePr>
              <a:graphicFrameLocks noChangeAspect="1"/>
            </wp:cNvGraphicFramePr>
            <a:graphic>
              <a:graphicData uri="http://schemas.openxmlformats.org/drawingml/2006/picture">
                <pic:pic>
                  <pic:nvPicPr>
                    <pic:cNvPr id="0" name="fig4-3.png"/>
                    <pic:cNvPicPr/>
                  </pic:nvPicPr>
                  <pic:blipFill>
                    <a:blip r:embed="rId16"/>
                    <a:stretch>
                      <a:fillRect/>
                    </a:stretch>
                  </pic:blipFill>
                  <pic:spPr>
                    <a:xfrm>
                      <a:off x="0" y="0"/>
                      <a:ext cx="4837851" cy="648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4-3</w:t>
      </w:r>
      <w:r>
        <w:rPr>
          <w:rFonts w:eastAsia="標楷體" w:ascii="Times New Roman" w:hAnsi="Times New Roman"/>
          <w:b w:val="0"/>
          <w:i w:val="0"/>
          <w:sz w:val="22"/>
        </w:rPr>
        <w:t xml:space="preserve">　動態阻抗法之離線建表與即時估測流程</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嵌入式實作與實驗結果</w:t>
      </w:r>
    </w:p>
    <w:p>
      <w:pPr>
        <w:spacing w:lineRule="atLeast" w:line="480"/>
        <w:ind w:firstLine="480"/>
        <w:jc w:val="both"/>
      </w:pPr>
      <w:r>
        <w:rPr>
          <w:rFonts w:eastAsia="標楷體" w:ascii="Times New Roman" w:hAnsi="Times New Roman"/>
          <w:b/>
          <w:i w:val="0"/>
          <w:sz w:val="24"/>
        </w:rPr>
        <w:t>嵌入式實作</w:t>
      </w:r>
      <w:r>
        <w:rPr>
          <w:rFonts w:eastAsia="標楷體" w:ascii="Times New Roman" w:hAnsi="Times New Roman"/>
          <w:b w:val="0"/>
          <w:i w:val="0"/>
          <w:sz w:val="24"/>
        </w:rPr>
        <w:t>：晶片上只需存放擬合得到的幾個係數，偵測到電流擾動時，做一次簡單的差分求出當下的動態阻抗，再解一個二次方程即可得到 SOC。整個過程不需要查開路電壓表、也不需要矩陣運算，運算量介於庫倫計數與 EKF 之間，是三種方法中兼顧「即時、輕量、無須初始值」的代表。</w:t>
      </w:r>
    </w:p>
    <w:p>
      <w:pPr>
        <w:spacing w:lineRule="atLeast" w:line="480"/>
        <w:ind w:firstLine="480"/>
        <w:jc w:val="both"/>
      </w:pPr>
      <w:r>
        <w:rPr>
          <w:rFonts w:eastAsia="標楷體" w:ascii="Times New Roman" w:hAnsi="Times New Roman"/>
          <w:b/>
          <w:i w:val="0"/>
          <w:sz w:val="24"/>
        </w:rPr>
        <w:t>實驗結果（實測）</w:t>
      </w:r>
      <w:r>
        <w:rPr>
          <w:rFonts w:eastAsia="標楷體" w:ascii="Times New Roman" w:hAnsi="Times New Roman"/>
          <w:b w:val="0"/>
          <w:i w:val="0"/>
          <w:sz w:val="24"/>
        </w:rPr>
        <w:t xml:space="preserve">：本研究直接複用跨輪測試（fresh-cell baseline，rounds 1–3）放電過程中既有的擾動段，從每個擾動事件算出動態阻抗 </w:t>
      </w:r>
      <w:r>
        <w:rPr>
          <w:rFonts w:eastAsia="標楷體" w:ascii="Times New Roman" w:hAnsi="Times New Roman"/>
          <w:b w:val="0"/>
          <w:i w:val="0"/>
          <w:sz w:val="24"/>
        </w:rPr>
        <w:t>|Δ V/Δ I|</w:t>
      </w:r>
      <w:r>
        <w:rPr>
          <w:rFonts w:eastAsia="標楷體" w:ascii="Times New Roman" w:hAnsi="Times New Roman"/>
          <w:b w:val="0"/>
          <w:i w:val="0"/>
          <w:sz w:val="24"/>
        </w:rPr>
        <w:t>，並配對該時刻的庫倫 SOC，累積散點後擬合二次曲線，結果如圖 4-4 所示。動態阻抗確實隨 SOC 呈拋物線：接近放空與接近滿電時較高、SOC 中段最低，最低點約落在 SOC 53%，與文獻所述「最小值在 50% 附近」一致 [1]。</w:t>
      </w:r>
    </w:p>
    <w:p>
      <w:pPr>
        <w:spacing w:before="120" w:after="40"/>
        <w:jc w:val="center"/>
      </w:pPr>
      <w:r>
        <w:drawing>
          <wp:inline xmlns:a="http://schemas.openxmlformats.org/drawingml/2006/main" xmlns:pic="http://schemas.openxmlformats.org/drawingml/2006/picture">
            <wp:extent cx="4860000" cy="3068929"/>
            <wp:docPr id="6" name="Picture 6"/>
            <wp:cNvGraphicFramePr>
              <a:graphicFrameLocks noChangeAspect="1"/>
            </wp:cNvGraphicFramePr>
            <a:graphic>
              <a:graphicData uri="http://schemas.openxmlformats.org/drawingml/2006/picture">
                <pic:pic>
                  <pic:nvPicPr>
                    <pic:cNvPr id="0" name="fig4-4.png"/>
                    <pic:cNvPicPr/>
                  </pic:nvPicPr>
                  <pic:blipFill>
                    <a:blip r:embed="rId17"/>
                    <a:stretch>
                      <a:fillRect/>
                    </a:stretch>
                  </pic:blipFill>
                  <pic:spPr>
                    <a:xfrm>
                      <a:off x="0" y="0"/>
                      <a:ext cx="4860000" cy="3068929"/>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4-4</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 xml:space="preserve"> 隨 SOC 之實測散點與二次擬合（fresh-cell rounds 1–3，四種放電倍率）</w:t>
      </w:r>
    </w:p>
    <w:p>
      <w:pPr>
        <w:spacing w:lineRule="atLeast" w:line="480"/>
        <w:ind w:firstLine="480"/>
        <w:jc w:val="both"/>
      </w:pPr>
      <w:r>
        <w:rPr>
          <w:rFonts w:eastAsia="標楷體" w:ascii="Times New Roman" w:hAnsi="Times New Roman"/>
          <w:b w:val="0"/>
          <w:i w:val="0"/>
          <w:sz w:val="24"/>
        </w:rPr>
        <w:t>各放電倍率分別擬合之係數整理如表 4-3。一項重要觀察是：低倍率（0.5C）因擾動的電流變化量小、訊噪比較差，散點較分散、擬合殘差較大（約 3.5 mΩ）；倍率越高，散點越乾淨、擬合殘差降至 0.5～0.6 mΩ——這正印證了第三章「對所有放電倍率注入擾動、且高倍率資料對擬合更有利」的設計考量。四種倍率與合併擬合所得之最低點 SOC 皆落在約 43～57%、平均約 53%，與理論預期相符。</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6"/>
        <w:gridCol w:w="1313"/>
        <w:gridCol w:w="1313"/>
        <w:gridCol w:w="1313"/>
        <w:gridCol w:w="1075"/>
        <w:gridCol w:w="1075"/>
        <w:gridCol w:w="1795"/>
      </w:tblGrid>
      <w:tr>
        <w:tc>
          <w:tcPr>
            <w:tcW w:type="dxa" w:w="716"/>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a</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b</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c</w:t>
            </w:r>
            <w:r>
              <w:rPr>
                <w:rFonts w:eastAsia="標楷體" w:ascii="Times New Roman" w:hAnsi="Times New Roman"/>
                <w:b/>
                <w:i w:val="0"/>
                <w:sz w:val="21"/>
              </w:rPr>
              <w:t xml:space="preserve"> (mΩ)</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最低點 SOC</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擬合殘差 (mΩ)</w:t>
            </w:r>
          </w:p>
        </w:tc>
        <w:tc>
          <w:tcPr>
            <w:tcW w:type="dxa" w:w="1795"/>
            <w:shd w:val="clear" w:color="auto" w:fill="D9E2F3"/>
            <w:vAlign w:val="center"/>
          </w:tcPr>
          <w:p>
            <w:pPr>
              <w:spacing w:before="20" w:after="20" w:lineRule="atLeast" w:line="280"/>
              <w:jc w:val="center"/>
            </w:pPr>
            <w:r>
              <w:rPr>
                <w:rFonts w:eastAsia="標楷體" w:ascii="Times New Roman" w:hAnsi="Times New Roman"/>
                <w:b/>
                <w:i w:val="0"/>
                <w:sz w:val="21"/>
              </w:rPr>
              <w:t>反推 SOC RMSE (%)</w:t>
            </w:r>
          </w:p>
        </w:tc>
      </w:tr>
      <w:tr>
        <w:tc>
          <w:tcPr>
            <w:tcW w:type="dxa" w:w="716"/>
            <w:vAlign w:val="center"/>
          </w:tcPr>
          <w:p>
            <w:pPr>
              <w:spacing w:before="20" w:after="20" w:lineRule="atLeast" w:line="280"/>
              <w:jc w:val="center"/>
            </w:pPr>
            <w:r>
              <w:rPr>
                <w:rFonts w:eastAsia="標楷體" w:ascii="Times New Roman" w:hAnsi="Times New Roman"/>
                <w:b w:val="0"/>
                <w:i w:val="0"/>
                <w:sz w:val="21"/>
              </w:rPr>
              <w:t>0.5C</w:t>
            </w:r>
          </w:p>
        </w:tc>
        <w:tc>
          <w:tcPr>
            <w:tcW w:type="dxa" w:w="1313"/>
            <w:vAlign w:val="center"/>
          </w:tcPr>
          <w:p>
            <w:pPr>
              <w:spacing w:before="20" w:after="20" w:lineRule="atLeast" w:line="280"/>
              <w:jc w:val="right"/>
            </w:pPr>
            <w:r>
              <w:rPr>
                <w:rFonts w:eastAsia="標楷體" w:ascii="Times New Roman" w:hAnsi="Times New Roman"/>
                <w:b w:val="0"/>
                <w:i w:val="0"/>
                <w:sz w:val="21"/>
              </w:rPr>
              <w:t>24.5</w:t>
            </w:r>
          </w:p>
        </w:tc>
        <w:tc>
          <w:tcPr>
            <w:tcW w:type="dxa" w:w="1313"/>
            <w:vAlign w:val="center"/>
          </w:tcPr>
          <w:p>
            <w:pPr>
              <w:spacing w:before="20" w:after="20" w:lineRule="atLeast" w:line="280"/>
              <w:jc w:val="right"/>
            </w:pPr>
            <w:r>
              <w:rPr>
                <w:rFonts w:eastAsia="標楷體" w:ascii="Times New Roman" w:hAnsi="Times New Roman"/>
                <w:b w:val="0"/>
                <w:i w:val="0"/>
                <w:sz w:val="21"/>
              </w:rPr>
              <w:t>−27.9</w:t>
            </w:r>
          </w:p>
        </w:tc>
        <w:tc>
          <w:tcPr>
            <w:tcW w:type="dxa" w:w="1313"/>
            <w:vAlign w:val="center"/>
          </w:tcPr>
          <w:p>
            <w:pPr>
              <w:spacing w:before="20" w:after="20" w:lineRule="atLeast" w:line="280"/>
              <w:jc w:val="right"/>
            </w:pPr>
            <w:r>
              <w:rPr>
                <w:rFonts w:eastAsia="標楷體" w:ascii="Times New Roman" w:hAnsi="Times New Roman"/>
                <w:b w:val="0"/>
                <w:i w:val="0"/>
                <w:sz w:val="21"/>
              </w:rPr>
              <w:t>66.6</w:t>
            </w:r>
          </w:p>
        </w:tc>
        <w:tc>
          <w:tcPr>
            <w:tcW w:type="dxa" w:w="1075"/>
            <w:vAlign w:val="center"/>
          </w:tcPr>
          <w:p>
            <w:pPr>
              <w:spacing w:before="20" w:after="20" w:lineRule="atLeast" w:line="280"/>
              <w:jc w:val="right"/>
            </w:pPr>
            <w:r>
              <w:rPr>
                <w:rFonts w:eastAsia="標楷體" w:ascii="Times New Roman" w:hAnsi="Times New Roman"/>
                <w:b w:val="0"/>
                <w:i w:val="0"/>
                <w:sz w:val="21"/>
              </w:rPr>
              <w:t>56.9%</w:t>
            </w:r>
          </w:p>
        </w:tc>
        <w:tc>
          <w:tcPr>
            <w:tcW w:type="dxa" w:w="1075"/>
            <w:vAlign w:val="center"/>
          </w:tcPr>
          <w:p>
            <w:pPr>
              <w:spacing w:before="20" w:after="20" w:lineRule="atLeast" w:line="280"/>
              <w:jc w:val="right"/>
            </w:pPr>
            <w:r>
              <w:rPr>
                <w:rFonts w:eastAsia="標楷體" w:ascii="Times New Roman" w:hAnsi="Times New Roman"/>
                <w:b w:val="0"/>
                <w:i w:val="0"/>
                <w:sz w:val="21"/>
              </w:rPr>
              <w:t>3.54</w:t>
            </w:r>
          </w:p>
        </w:tc>
        <w:tc>
          <w:tcPr>
            <w:tcW w:type="dxa" w:w="1795"/>
            <w:vAlign w:val="center"/>
          </w:tcPr>
          <w:p>
            <w:pPr>
              <w:spacing w:before="20" w:after="20" w:lineRule="atLeast" w:line="280"/>
              <w:jc w:val="right"/>
            </w:pPr>
            <w:r>
              <w:rPr>
                <w:rFonts w:eastAsia="標楷體" w:ascii="Times New Roman" w:hAnsi="Times New Roman"/>
                <w:b w:val="0"/>
                <w:i w:val="0"/>
                <w:sz w:val="21"/>
              </w:rPr>
              <w:t>9.7</w:t>
            </w:r>
          </w:p>
        </w:tc>
      </w:tr>
      <w:tr>
        <w:tc>
          <w:tcPr>
            <w:tcW w:type="dxa" w:w="716"/>
            <w:vAlign w:val="center"/>
          </w:tcPr>
          <w:p>
            <w:pPr>
              <w:spacing w:before="20" w:after="20" w:lineRule="atLeast" w:line="280"/>
              <w:jc w:val="center"/>
            </w:pPr>
            <w:r>
              <w:rPr>
                <w:rFonts w:eastAsia="標楷體" w:ascii="Times New Roman" w:hAnsi="Times New Roman"/>
                <w:b w:val="0"/>
                <w:i w:val="0"/>
                <w:sz w:val="21"/>
              </w:rPr>
              <w:t>1.0C</w:t>
            </w:r>
          </w:p>
        </w:tc>
        <w:tc>
          <w:tcPr>
            <w:tcW w:type="dxa" w:w="1313"/>
            <w:vAlign w:val="center"/>
          </w:tcPr>
          <w:p>
            <w:pPr>
              <w:spacing w:before="20" w:after="20" w:lineRule="atLeast" w:line="280"/>
              <w:jc w:val="right"/>
            </w:pPr>
            <w:r>
              <w:rPr>
                <w:rFonts w:eastAsia="標楷體" w:ascii="Times New Roman" w:hAnsi="Times New Roman"/>
                <w:b w:val="0"/>
                <w:i w:val="0"/>
                <w:sz w:val="21"/>
              </w:rPr>
              <w:t>14.9</w:t>
            </w:r>
          </w:p>
        </w:tc>
        <w:tc>
          <w:tcPr>
            <w:tcW w:type="dxa" w:w="1313"/>
            <w:vAlign w:val="center"/>
          </w:tcPr>
          <w:p>
            <w:pPr>
              <w:spacing w:before="20" w:after="20" w:lineRule="atLeast" w:line="280"/>
              <w:jc w:val="right"/>
            </w:pPr>
            <w:r>
              <w:rPr>
                <w:rFonts w:eastAsia="標楷體" w:ascii="Times New Roman" w:hAnsi="Times New Roman"/>
                <w:b w:val="0"/>
                <w:i w:val="0"/>
                <w:sz w:val="21"/>
              </w:rPr>
              <w:t>−15.4</w:t>
            </w:r>
          </w:p>
        </w:tc>
        <w:tc>
          <w:tcPr>
            <w:tcW w:type="dxa" w:w="1313"/>
            <w:vAlign w:val="center"/>
          </w:tcPr>
          <w:p>
            <w:pPr>
              <w:spacing w:before="20" w:after="20" w:lineRule="atLeast" w:line="280"/>
              <w:jc w:val="right"/>
            </w:pPr>
            <w:r>
              <w:rPr>
                <w:rFonts w:eastAsia="標楷體" w:ascii="Times New Roman" w:hAnsi="Times New Roman"/>
                <w:b w:val="0"/>
                <w:i w:val="0"/>
                <w:sz w:val="21"/>
              </w:rPr>
              <w:t>61.8</w:t>
            </w:r>
          </w:p>
        </w:tc>
        <w:tc>
          <w:tcPr>
            <w:tcW w:type="dxa" w:w="1075"/>
            <w:vAlign w:val="center"/>
          </w:tcPr>
          <w:p>
            <w:pPr>
              <w:spacing w:before="20" w:after="20" w:lineRule="atLeast" w:line="280"/>
              <w:jc w:val="right"/>
            </w:pPr>
            <w:r>
              <w:rPr>
                <w:rFonts w:eastAsia="標楷體" w:ascii="Times New Roman" w:hAnsi="Times New Roman"/>
                <w:b w:val="0"/>
                <w:i w:val="0"/>
                <w:sz w:val="21"/>
              </w:rPr>
              <w:t>51.7%</w:t>
            </w:r>
          </w:p>
        </w:tc>
        <w:tc>
          <w:tcPr>
            <w:tcW w:type="dxa" w:w="1075"/>
            <w:vAlign w:val="center"/>
          </w:tcPr>
          <w:p>
            <w:pPr>
              <w:spacing w:before="20" w:after="20" w:lineRule="atLeast" w:line="280"/>
              <w:jc w:val="right"/>
            </w:pPr>
            <w:r>
              <w:rPr>
                <w:rFonts w:eastAsia="標楷體" w:ascii="Times New Roman" w:hAnsi="Times New Roman"/>
                <w:b w:val="0"/>
                <w:i w:val="0"/>
                <w:sz w:val="21"/>
              </w:rPr>
              <w:t>0.62</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1.5C</w:t>
            </w:r>
          </w:p>
        </w:tc>
        <w:tc>
          <w:tcPr>
            <w:tcW w:type="dxa" w:w="1313"/>
            <w:vAlign w:val="center"/>
          </w:tcPr>
          <w:p>
            <w:pPr>
              <w:spacing w:before="20" w:after="20" w:lineRule="atLeast" w:line="280"/>
              <w:jc w:val="right"/>
            </w:pPr>
            <w:r>
              <w:rPr>
                <w:rFonts w:eastAsia="標楷體" w:ascii="Times New Roman" w:hAnsi="Times New Roman"/>
                <w:b w:val="0"/>
                <w:i w:val="0"/>
                <w:sz w:val="21"/>
              </w:rPr>
              <w:t>15.6</w:t>
            </w:r>
          </w:p>
        </w:tc>
        <w:tc>
          <w:tcPr>
            <w:tcW w:type="dxa" w:w="1313"/>
            <w:vAlign w:val="center"/>
          </w:tcPr>
          <w:p>
            <w:pPr>
              <w:spacing w:before="20" w:after="20" w:lineRule="atLeast" w:line="280"/>
              <w:jc w:val="right"/>
            </w:pPr>
            <w:r>
              <w:rPr>
                <w:rFonts w:eastAsia="標楷體" w:ascii="Times New Roman" w:hAnsi="Times New Roman"/>
                <w:b w:val="0"/>
                <w:i w:val="0"/>
                <w:sz w:val="21"/>
              </w:rPr>
              <w:t>−14.6</w:t>
            </w:r>
          </w:p>
        </w:tc>
        <w:tc>
          <w:tcPr>
            <w:tcW w:type="dxa" w:w="1313"/>
            <w:vAlign w:val="center"/>
          </w:tcPr>
          <w:p>
            <w:pPr>
              <w:spacing w:before="20" w:after="20" w:lineRule="atLeast" w:line="280"/>
              <w:jc w:val="right"/>
            </w:pPr>
            <w:r>
              <w:rPr>
                <w:rFonts w:eastAsia="標楷體" w:ascii="Times New Roman" w:hAnsi="Times New Roman"/>
                <w:b w:val="0"/>
                <w:i w:val="0"/>
                <w:sz w:val="21"/>
              </w:rPr>
              <w:t>60.3</w:t>
            </w:r>
          </w:p>
        </w:tc>
        <w:tc>
          <w:tcPr>
            <w:tcW w:type="dxa" w:w="1075"/>
            <w:vAlign w:val="center"/>
          </w:tcPr>
          <w:p>
            <w:pPr>
              <w:spacing w:before="20" w:after="20" w:lineRule="atLeast" w:line="280"/>
              <w:jc w:val="right"/>
            </w:pPr>
            <w:r>
              <w:rPr>
                <w:rFonts w:eastAsia="標楷體" w:ascii="Times New Roman" w:hAnsi="Times New Roman"/>
                <w:b w:val="0"/>
                <w:i w:val="0"/>
                <w:sz w:val="21"/>
              </w:rPr>
              <w:t>46.9%</w:t>
            </w:r>
          </w:p>
        </w:tc>
        <w:tc>
          <w:tcPr>
            <w:tcW w:type="dxa" w:w="1075"/>
            <w:vAlign w:val="center"/>
          </w:tcPr>
          <w:p>
            <w:pPr>
              <w:spacing w:before="20" w:after="20" w:lineRule="atLeast" w:line="280"/>
              <w:jc w:val="right"/>
            </w:pPr>
            <w:r>
              <w:rPr>
                <w:rFonts w:eastAsia="標楷體" w:ascii="Times New Roman" w:hAnsi="Times New Roman"/>
                <w:b w:val="0"/>
                <w:i w:val="0"/>
                <w:sz w:val="21"/>
              </w:rPr>
              <w:t>0.59</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2.0C</w:t>
            </w:r>
          </w:p>
        </w:tc>
        <w:tc>
          <w:tcPr>
            <w:tcW w:type="dxa" w:w="1313"/>
            <w:vAlign w:val="center"/>
          </w:tcPr>
          <w:p>
            <w:pPr>
              <w:spacing w:before="20" w:after="20" w:lineRule="atLeast" w:line="280"/>
              <w:jc w:val="right"/>
            </w:pPr>
            <w:r>
              <w:rPr>
                <w:rFonts w:eastAsia="標楷體" w:ascii="Times New Roman" w:hAnsi="Times New Roman"/>
                <w:b w:val="0"/>
                <w:i w:val="0"/>
                <w:sz w:val="21"/>
              </w:rPr>
              <w:t>16.2</w:t>
            </w:r>
          </w:p>
        </w:tc>
        <w:tc>
          <w:tcPr>
            <w:tcW w:type="dxa" w:w="1313"/>
            <w:vAlign w:val="center"/>
          </w:tcPr>
          <w:p>
            <w:pPr>
              <w:spacing w:before="20" w:after="20" w:lineRule="atLeast" w:line="280"/>
              <w:jc w:val="right"/>
            </w:pPr>
            <w:r>
              <w:rPr>
                <w:rFonts w:eastAsia="標楷體" w:ascii="Times New Roman" w:hAnsi="Times New Roman"/>
                <w:b w:val="0"/>
                <w:i w:val="0"/>
                <w:sz w:val="21"/>
              </w:rPr>
              <w:t>−14.0</w:t>
            </w:r>
          </w:p>
        </w:tc>
        <w:tc>
          <w:tcPr>
            <w:tcW w:type="dxa" w:w="1313"/>
            <w:vAlign w:val="center"/>
          </w:tcPr>
          <w:p>
            <w:pPr>
              <w:spacing w:before="20" w:after="20" w:lineRule="atLeast" w:line="280"/>
              <w:jc w:val="right"/>
            </w:pPr>
            <w:r>
              <w:rPr>
                <w:rFonts w:eastAsia="標楷體" w:ascii="Times New Roman" w:hAnsi="Times New Roman"/>
                <w:b w:val="0"/>
                <w:i w:val="0"/>
                <w:sz w:val="21"/>
              </w:rPr>
              <w:t>59.0</w:t>
            </w:r>
          </w:p>
        </w:tc>
        <w:tc>
          <w:tcPr>
            <w:tcW w:type="dxa" w:w="1075"/>
            <w:vAlign w:val="center"/>
          </w:tcPr>
          <w:p>
            <w:pPr>
              <w:spacing w:before="20" w:after="20" w:lineRule="atLeast" w:line="280"/>
              <w:jc w:val="right"/>
            </w:pPr>
            <w:r>
              <w:rPr>
                <w:rFonts w:eastAsia="標楷體" w:ascii="Times New Roman" w:hAnsi="Times New Roman"/>
                <w:b w:val="0"/>
                <w:i w:val="0"/>
                <w:sz w:val="21"/>
              </w:rPr>
              <w:t>43.3%</w:t>
            </w:r>
          </w:p>
        </w:tc>
        <w:tc>
          <w:tcPr>
            <w:tcW w:type="dxa" w:w="1075"/>
            <w:vAlign w:val="center"/>
          </w:tcPr>
          <w:p>
            <w:pPr>
              <w:spacing w:before="20" w:after="20" w:lineRule="atLeast" w:line="280"/>
              <w:jc w:val="right"/>
            </w:pPr>
            <w:r>
              <w:rPr>
                <w:rFonts w:eastAsia="標楷體" w:ascii="Times New Roman" w:hAnsi="Times New Roman"/>
                <w:b w:val="0"/>
                <w:i w:val="0"/>
                <w:sz w:val="21"/>
              </w:rPr>
              <w:t>0.52</w:t>
            </w:r>
          </w:p>
        </w:tc>
        <w:tc>
          <w:tcPr>
            <w:tcW w:type="dxa" w:w="1795"/>
            <w:vAlign w:val="center"/>
          </w:tcPr>
          <w:p>
            <w:pPr>
              <w:spacing w:before="20" w:after="20" w:lineRule="atLeast" w:line="280"/>
              <w:jc w:val="right"/>
            </w:pPr>
            <w:r>
              <w:rPr>
                <w:rFonts w:eastAsia="標楷體" w:ascii="Times New Roman" w:hAnsi="Times New Roman"/>
                <w:b w:val="0"/>
                <w:i w:val="0"/>
                <w:sz w:val="21"/>
              </w:rPr>
              <w:t>6.3</w:t>
            </w:r>
          </w:p>
        </w:tc>
      </w:tr>
      <w:tr>
        <w:tc>
          <w:tcPr>
            <w:tcW w:type="dxa" w:w="716"/>
            <w:vAlign w:val="center"/>
          </w:tcPr>
          <w:p>
            <w:pPr>
              <w:spacing w:before="20" w:after="20" w:lineRule="atLeast" w:line="280"/>
              <w:jc w:val="center"/>
            </w:pPr>
            <w:r>
              <w:rPr>
                <w:rFonts w:eastAsia="標楷體" w:ascii="Times New Roman" w:hAnsi="Times New Roman"/>
                <w:b/>
                <w:i w:val="0"/>
                <w:sz w:val="21"/>
              </w:rPr>
              <w:t>合併</w:t>
            </w:r>
          </w:p>
        </w:tc>
        <w:tc>
          <w:tcPr>
            <w:tcW w:type="dxa" w:w="1313"/>
            <w:vAlign w:val="center"/>
          </w:tcPr>
          <w:p>
            <w:pPr>
              <w:spacing w:before="20" w:after="20" w:lineRule="atLeast" w:line="280"/>
              <w:jc w:val="right"/>
            </w:pPr>
            <w:r>
              <w:rPr>
                <w:rFonts w:eastAsia="標楷體" w:ascii="Times New Roman" w:hAnsi="Times New Roman"/>
                <w:b/>
                <w:i w:val="0"/>
                <w:sz w:val="21"/>
              </w:rPr>
              <w:t>20.2</w:t>
            </w:r>
          </w:p>
        </w:tc>
        <w:tc>
          <w:tcPr>
            <w:tcW w:type="dxa" w:w="1313"/>
            <w:vAlign w:val="center"/>
          </w:tcPr>
          <w:p>
            <w:pPr>
              <w:spacing w:before="20" w:after="20" w:lineRule="atLeast" w:line="280"/>
              <w:jc w:val="right"/>
            </w:pPr>
            <w:r>
              <w:rPr>
                <w:rFonts w:eastAsia="標楷體" w:ascii="Times New Roman" w:hAnsi="Times New Roman"/>
                <w:b/>
                <w:i w:val="0"/>
                <w:sz w:val="21"/>
              </w:rPr>
              <w:t>−21.6</w:t>
            </w:r>
          </w:p>
        </w:tc>
        <w:tc>
          <w:tcPr>
            <w:tcW w:type="dxa" w:w="1313"/>
            <w:vAlign w:val="center"/>
          </w:tcPr>
          <w:p>
            <w:pPr>
              <w:spacing w:before="20" w:after="20" w:lineRule="atLeast" w:line="280"/>
              <w:jc w:val="right"/>
            </w:pPr>
            <w:r>
              <w:rPr>
                <w:rFonts w:eastAsia="標楷體" w:ascii="Times New Roman" w:hAnsi="Times New Roman"/>
                <w:b/>
                <w:i w:val="0"/>
                <w:sz w:val="21"/>
              </w:rPr>
              <w:t>63.6</w:t>
            </w:r>
          </w:p>
        </w:tc>
        <w:tc>
          <w:tcPr>
            <w:tcW w:type="dxa" w:w="1075"/>
            <w:vAlign w:val="center"/>
          </w:tcPr>
          <w:p>
            <w:pPr>
              <w:spacing w:before="20" w:after="20" w:lineRule="atLeast" w:line="280"/>
              <w:jc w:val="right"/>
            </w:pPr>
            <w:r>
              <w:rPr>
                <w:rFonts w:eastAsia="標楷體" w:ascii="Times New Roman" w:hAnsi="Times New Roman"/>
                <w:b/>
                <w:i w:val="0"/>
                <w:sz w:val="21"/>
              </w:rPr>
              <w:t>53.4%</w:t>
            </w:r>
          </w:p>
        </w:tc>
        <w:tc>
          <w:tcPr>
            <w:tcW w:type="dxa" w:w="1075"/>
            <w:vAlign w:val="center"/>
          </w:tcPr>
          <w:p>
            <w:pPr>
              <w:spacing w:before="20" w:after="20" w:lineRule="atLeast" w:line="280"/>
              <w:jc w:val="right"/>
            </w:pPr>
            <w:r>
              <w:rPr>
                <w:rFonts w:eastAsia="標楷體" w:ascii="Times New Roman" w:hAnsi="Times New Roman"/>
                <w:b/>
                <w:i w:val="0"/>
                <w:sz w:val="21"/>
              </w:rPr>
              <w:t>2.90</w:t>
            </w:r>
          </w:p>
        </w:tc>
        <w:tc>
          <w:tcPr>
            <w:tcW w:type="dxa" w:w="1795"/>
            <w:vAlign w:val="center"/>
          </w:tcPr>
          <w:p>
            <w:pPr>
              <w:spacing w:before="20" w:after="20" w:lineRule="atLeast" w:line="280"/>
              <w:jc w:val="right"/>
            </w:pPr>
            <w:r>
              <w:rPr>
                <w:rFonts w:eastAsia="標楷體" w:ascii="Times New Roman" w:hAnsi="Times New Roman"/>
                <w:b w:val="0"/>
                <w:i w:val="0"/>
                <w:sz w:val="21"/>
              </w:rPr>
              <w:t>—</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–SOC 二次擬合係數與反推精度（fresh-cell rounds 1–3 實測；阻抗單位 mΩ，SOC 以分數代入；反推 RMSE 為假設分枝正確之逐點誤差）</w:t>
      </w:r>
    </w:p>
    <w:p>
      <w:pPr>
        <w:spacing w:lineRule="atLeast" w:line="480"/>
        <w:ind w:firstLine="480"/>
        <w:jc w:val="both"/>
      </w:pPr>
      <w:r>
        <w:rPr>
          <w:rFonts w:eastAsia="標楷體" w:ascii="Times New Roman" w:hAnsi="Times New Roman"/>
          <w:b/>
          <w:i w:val="0"/>
          <w:sz w:val="24"/>
        </w:rPr>
        <w:t>以擬合反推 SOC 之逐點精度（實測）</w:t>
      </w:r>
      <w:r>
        <w:rPr>
          <w:rFonts w:eastAsia="標楷體" w:ascii="Times New Roman" w:hAnsi="Times New Roman"/>
          <w:b w:val="0"/>
          <w:i w:val="0"/>
          <w:sz w:val="24"/>
        </w:rPr>
        <w:t xml:space="preserve">：將量得的動態阻抗代回二次式解出 SOC（在假設分枝判斷正確的前提下），與庫倫真值逐點比較，各放電倍率的均方根誤差約為 </w:t>
      </w:r>
      <w:r>
        <w:rPr>
          <w:rFonts w:eastAsia="標楷體" w:ascii="Times New Roman" w:hAnsi="Times New Roman"/>
          <w:b/>
          <w:i w:val="0"/>
          <w:sz w:val="24"/>
        </w:rPr>
        <w:t>6～10%</w:t>
      </w:r>
      <w:r>
        <w:rPr>
          <w:rFonts w:eastAsia="標楷體" w:ascii="Times New Roman" w:hAnsi="Times New Roman"/>
          <w:b w:val="0"/>
          <w:i w:val="0"/>
          <w:sz w:val="24"/>
        </w:rPr>
        <w:t>（0.5C 最差、2.0C 最佳，與訊噪比一致，列於表 4-3 末欄）。更關鍵的觀察是其誤差</w:t>
      </w:r>
      <w:r>
        <w:rPr>
          <w:rFonts w:eastAsia="標楷體" w:ascii="Times New Roman" w:hAnsi="Times New Roman"/>
          <w:b/>
          <w:i w:val="0"/>
          <w:sz w:val="24"/>
        </w:rPr>
        <w:t>隨 SOC 高度不均</w:t>
      </w:r>
      <w:r>
        <w:rPr>
          <w:rFonts w:eastAsia="標楷體" w:ascii="Times New Roman" w:hAnsi="Times New Roman"/>
          <w:b w:val="0"/>
          <w:i w:val="0"/>
          <w:sz w:val="24"/>
        </w:rPr>
        <w:t>：SOC 中段（40～60%）誤差明顯較大（約 9～13%），兩端（&lt; 20% 或 &gt; 80%）較小（約 5～9%）。此現象直接源於動態阻抗曲線在中段平緩——最低點附近阻抗對 SOC 幾乎不敏感，使「由阻抗反推 SOC」在中段成為病態問題（微小的阻抗量測誤差被放大成巨大的 SOC 誤差）。以 rounds 1–2 擬合、round 3 留出驗證所得之精度（RMSE 約 7～10%）與上述相當，顯示此結果並非過度擬合，而是方法的固有特性。</w:t>
      </w:r>
    </w:p>
    <w:p>
      <w:pPr>
        <w:spacing w:lineRule="atLeast" w:line="480"/>
        <w:ind w:firstLine="480"/>
        <w:jc w:val="both"/>
      </w:pPr>
      <w:r>
        <w:rPr>
          <w:rFonts w:eastAsia="標楷體" w:ascii="Times New Roman" w:hAnsi="Times New Roman"/>
          <w:b w:val="0"/>
          <w:i w:val="0"/>
          <w:sz w:val="24"/>
        </w:rPr>
        <w:t>此精度水準說明：</w:t>
      </w:r>
      <w:r>
        <w:rPr>
          <w:rFonts w:eastAsia="標楷體" w:ascii="Times New Roman" w:hAnsi="Times New Roman"/>
          <w:b/>
          <w:i w:val="0"/>
          <w:sz w:val="24"/>
        </w:rPr>
        <w:t>單以動態阻抗反推 SOC 不足以獨立提供高解析度估測，尤其在 SOC 中段</w:t>
      </w:r>
      <w:r>
        <w:rPr>
          <w:rFonts w:eastAsia="標楷體" w:ascii="Times New Roman" w:hAnsi="Times New Roman"/>
          <w:b w:val="0"/>
          <w:i w:val="0"/>
          <w:sz w:val="24"/>
        </w:rPr>
        <w:t>。這正當化了 4.3.3 所述之混合策略——以動態阻抗在擾動事件處提供「無須初值」的離散校正，事件之間再由庫倫計數內插以維持連續且高解析度的 SOC。三方法（含 EKF）之整體精度將於 4.4 節在同一框架下比較。</w:t>
      </w:r>
    </w:p>
    <w:p>
      <w:pPr>
        <w:spacing w:before="240" w:after="120" w:lineRule="atLeast" w:line="360"/>
        <w:jc w:val="left"/>
      </w:pPr>
      <w:r>
        <w:rPr>
          <w:rFonts w:eastAsia="標楷體" w:ascii="Times New Roman" w:hAnsi="Times New Roman"/>
          <w:b/>
          <w:i w:val="0"/>
          <w:sz w:val="28"/>
        </w:rPr>
        <w:t>4.4 方法比較</w:t>
      </w:r>
    </w:p>
    <w:p>
      <w:pPr>
        <w:spacing w:lineRule="atLeast" w:line="320" w:before="40" w:after="40"/>
        <w:ind w:left="360"/>
        <w:jc w:val="left"/>
      </w:pPr>
      <w:r>
        <w:rPr>
          <w:rFonts w:eastAsia="標楷體" w:ascii="Times New Roman" w:hAnsi="Times New Roman"/>
          <w:b w:val="0"/>
          <w:i/>
          <w:color w:val="606060"/>
          <w:sz w:val="21"/>
        </w:rPr>
        <w:t>本節為三法之公平比較。比較框架、指標定義與表骨架為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；填入之數值除庫倫計數既有資料外多為 </w:t>
      </w:r>
      <w:r>
        <w:rPr>
          <w:rFonts w:eastAsia="標楷體" w:ascii="Consolas" w:hAnsi="Consolas"/>
          <w:b w:val="0"/>
          <w:i/>
          <w:color w:val="606060"/>
          <w:sz w:val="19"/>
        </w:rPr>
        <w:t>[待測]</w:t>
      </w:r>
      <w:r>
        <w:rPr>
          <w:rFonts w:eastAsia="標楷體" w:ascii="Times New Roman" w:hAnsi="Times New Roman"/>
          <w:b w:val="0"/>
          <w:i/>
          <w:color w:val="606060"/>
          <w:sz w:val="21"/>
        </w:rPr>
        <w:t>，待 4.2／4.3 實驗與 footprint 量測完成後補齊。比較之公平性由「同電池、同協定、同 MCU、同量測路徑」保證（第三章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b w:val="0"/>
          <w:i w:val="0"/>
          <w:sz w:val="24"/>
        </w:rPr>
        <w:t>於同一組放電 cycle 上，以 4.0 節框架對三法計算精度指標。庫倫計數因即時無修正，於單 cycle 內若初值正確則精度最高（其本即真值錨點）；EKF 之價值在初值錯誤與長期運行下的穩健；動態阻抗之精度受擾動 SNR 與拋物線在頂點附近平緩（靈敏度低）影響。</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3"/>
        <w:gridCol w:w="1026"/>
        <w:gridCol w:w="898"/>
        <w:gridCol w:w="1668"/>
        <w:gridCol w:w="1283"/>
        <w:gridCol w:w="2442"/>
      </w:tblGrid>
      <w:tr>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026"/>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898"/>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668"/>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c>
          <w:tcPr>
            <w:tcW w:type="dxa" w:w="2442"/>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1283"/>
            <w:vAlign w:val="center"/>
          </w:tcPr>
          <w:p>
            <w:pPr>
              <w:spacing w:before="20" w:after="20" w:lineRule="atLeast" w:line="280"/>
              <w:jc w:val="left"/>
            </w:pPr>
            <w:r>
              <w:rPr>
                <w:rFonts w:eastAsia="標楷體" w:ascii="Times New Roman" w:hAnsi="Times New Roman"/>
                <w:b w:val="0"/>
                <w:i w:val="0"/>
                <w:sz w:val="21"/>
              </w:rPr>
              <w:t>庫倫計數</w:t>
            </w:r>
          </w:p>
        </w:tc>
        <w:tc>
          <w:tcPr>
            <w:tcW w:type="dxa" w:w="102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89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6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83"/>
            <w:vAlign w:val="center"/>
          </w:tcPr>
          <w:p>
            <w:pPr>
              <w:spacing w:before="20" w:after="20" w:lineRule="atLeast" w:line="280"/>
              <w:jc w:val="right"/>
            </w:pPr>
            <w:r>
              <w:rPr>
                <w:rFonts w:eastAsia="標楷體" w:ascii="Times New Roman" w:hAnsi="Times New Roman"/>
                <w:b w:val="0"/>
                <w:i w:val="0"/>
                <w:sz w:val="21"/>
              </w:rPr>
              <w:t>N/A（無收斂機制）</w:t>
            </w:r>
          </w:p>
        </w:tc>
        <w:tc>
          <w:tcPr>
            <w:tcW w:type="dxa" w:w="2442"/>
            <w:vAlign w:val="center"/>
          </w:tcPr>
          <w:p>
            <w:pPr>
              <w:spacing w:before="20" w:after="20" w:lineRule="atLeast" w:line="280"/>
              <w:jc w:val="left"/>
            </w:pPr>
            <w:r>
              <w:rPr>
                <w:rFonts w:eastAsia="標楷體" w:ascii="Times New Roman" w:hAnsi="Times New Roman"/>
                <w:b w:val="0"/>
                <w:i w:val="0"/>
                <w:sz w:val="21"/>
              </w:rPr>
              <w:t>初值正確時單 cycle 內為對照基準</w:t>
            </w:r>
          </w:p>
        </w:tc>
      </w:tr>
      <w:tr>
        <w:tc>
          <w:tcPr>
            <w:tcW w:type="dxa" w:w="1283"/>
            <w:vAlign w:val="center"/>
          </w:tcPr>
          <w:p>
            <w:pPr>
              <w:spacing w:before="20" w:after="20" w:lineRule="atLeast" w:line="280"/>
              <w:jc w:val="left"/>
            </w:pPr>
            <w:r>
              <w:rPr>
                <w:rFonts w:eastAsia="標楷體" w:ascii="Times New Roman" w:hAnsi="Times New Roman"/>
                <w:b w:val="0"/>
                <w:i w:val="0"/>
                <w:sz w:val="21"/>
              </w:rPr>
              <w:t>EKF</w:t>
            </w:r>
          </w:p>
        </w:tc>
        <w:tc>
          <w:tcPr>
            <w:tcW w:type="dxa" w:w="102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89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668"/>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8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442"/>
            <w:vAlign w:val="center"/>
          </w:tcPr>
          <w:p>
            <w:pPr>
              <w:spacing w:before="20" w:after="20" w:lineRule="atLeast" w:line="280"/>
              <w:jc w:val="left"/>
            </w:pPr>
            <w:r>
              <w:rPr>
                <w:rFonts w:eastAsia="標楷體" w:ascii="Times New Roman" w:hAnsi="Times New Roman"/>
                <w:b w:val="0"/>
                <w:i w:val="0"/>
                <w:sz w:val="21"/>
              </w:rPr>
              <w:t>可自初值錯誤收斂</w:t>
            </w:r>
          </w:p>
        </w:tc>
      </w:tr>
      <w:tr>
        <w:tc>
          <w:tcPr>
            <w:tcW w:type="dxa" w:w="1283"/>
            <w:vAlign w:val="center"/>
          </w:tcPr>
          <w:p>
            <w:pPr>
              <w:spacing w:before="20" w:after="20" w:lineRule="atLeast" w:line="280"/>
              <w:jc w:val="left"/>
            </w:pPr>
            <w:r>
              <w:rPr>
                <w:rFonts w:eastAsia="標楷體" w:ascii="Times New Roman" w:hAnsi="Times New Roman"/>
                <w:b w:val="0"/>
                <w:i w:val="0"/>
                <w:sz w:val="21"/>
              </w:rPr>
              <w:t>動態阻抗（單獨反推）</w:t>
            </w:r>
          </w:p>
        </w:tc>
        <w:tc>
          <w:tcPr>
            <w:tcW w:type="dxa" w:w="1026"/>
            <w:vAlign w:val="center"/>
          </w:tcPr>
          <w:p>
            <w:pPr>
              <w:spacing w:before="20" w:after="20" w:lineRule="atLeast" w:line="280"/>
              <w:jc w:val="right"/>
            </w:pPr>
            <w:r>
              <w:rPr>
                <w:rFonts w:eastAsia="標楷體" w:ascii="Times New Roman" w:hAnsi="Times New Roman"/>
                <w:b w:val="0"/>
                <w:i w:val="0"/>
                <w:sz w:val="21"/>
              </w:rPr>
              <w:t>6～10</w:t>
            </w:r>
          </w:p>
        </w:tc>
        <w:tc>
          <w:tcPr>
            <w:tcW w:type="dxa" w:w="898"/>
            <w:vAlign w:val="center"/>
          </w:tcPr>
          <w:p>
            <w:pPr>
              <w:spacing w:before="20" w:after="20" w:lineRule="atLeast" w:line="280"/>
              <w:jc w:val="right"/>
            </w:pPr>
            <w:r>
              <w:rPr>
                <w:rFonts w:eastAsia="標楷體" w:ascii="Times New Roman" w:hAnsi="Times New Roman"/>
                <w:b w:val="0"/>
                <w:i w:val="0"/>
                <w:sz w:val="21"/>
              </w:rPr>
              <w:t>5～8</w:t>
            </w:r>
          </w:p>
        </w:tc>
        <w:tc>
          <w:tcPr>
            <w:tcW w:type="dxa" w:w="1668"/>
            <w:vAlign w:val="center"/>
          </w:tcPr>
          <w:p>
            <w:pPr>
              <w:spacing w:before="20" w:after="20" w:lineRule="atLeast" w:line="280"/>
              <w:jc w:val="right"/>
            </w:pPr>
            <w:r>
              <w:rPr>
                <w:rFonts w:eastAsia="標楷體" w:ascii="Times New Roman" w:hAnsi="Times New Roman"/>
                <w:b w:val="0"/>
                <w:i w:val="0"/>
                <w:sz w:val="21"/>
              </w:rPr>
              <w:t>~20</w:t>
            </w:r>
          </w:p>
        </w:tc>
        <w:tc>
          <w:tcPr>
            <w:tcW w:type="dxa" w:w="1283"/>
            <w:vAlign w:val="center"/>
          </w:tcPr>
          <w:p>
            <w:pPr>
              <w:spacing w:before="20" w:after="20" w:lineRule="atLeast" w:line="280"/>
              <w:jc w:val="right"/>
            </w:pPr>
            <w:r>
              <w:rPr>
                <w:rFonts w:eastAsia="標楷體" w:ascii="Times New Roman" w:hAnsi="Times New Roman"/>
                <w:b w:val="0"/>
                <w:i w:val="0"/>
                <w:sz w:val="21"/>
              </w:rPr>
              <w:t>N/A</w:t>
            </w:r>
          </w:p>
        </w:tc>
        <w:tc>
          <w:tcPr>
            <w:tcW w:type="dxa" w:w="2442"/>
            <w:vAlign w:val="center"/>
          </w:tcPr>
          <w:p>
            <w:pPr>
              <w:spacing w:before="20" w:after="20" w:lineRule="atLeast" w:line="280"/>
              <w:jc w:val="left"/>
            </w:pPr>
            <w:r>
              <w:rPr>
                <w:rFonts w:eastAsia="標楷體" w:ascii="Times New Roman" w:hAnsi="Times New Roman"/>
                <w:b w:val="0"/>
                <w:i w:val="0"/>
                <w:sz w:val="21"/>
              </w:rPr>
              <w:t>實測（見 4.3.4）；中段誤差較大</w:t>
            </w:r>
          </w:p>
        </w:tc>
      </w:tr>
    </w:tbl>
    <w:p>
      <w:pPr>
        <w:spacing w:before="60" w:after="160" w:lineRule="atLeast" w:line="320"/>
        <w:jc w:val="center"/>
      </w:pPr>
      <w:r>
        <w:rPr>
          <w:rFonts w:eastAsia="標楷體" w:ascii="Times New Roman" w:hAnsi="Times New Roman"/>
          <w:b/>
          <w:i w:val="0"/>
          <w:sz w:val="22"/>
        </w:rPr>
        <w:t>表 4-4</w:t>
      </w:r>
      <w:r>
        <w:rPr>
          <w:rFonts w:eastAsia="標楷體" w:ascii="Times New Roman" w:hAnsi="Times New Roman"/>
          <w:b w:val="0"/>
          <w:i w:val="0"/>
          <w:sz w:val="22"/>
        </w:rPr>
        <w:t xml:space="preserve">　三法標稱工況精度比較（動態阻抗為實測；庫倫與 EKF 待 EKF 原型完成後填入）</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b w:val="0"/>
          <w:i w:val="0"/>
          <w:sz w:val="24"/>
        </w:rPr>
        <w:t xml:space="preserve">三項壓力測試（皆 </w:t>
      </w:r>
      <w:r>
        <w:rPr>
          <w:rFonts w:eastAsia="標楷體" w:ascii="Consolas" w:hAnsi="Consolas"/>
          <w:b w:val="0"/>
          <w:i w:val="0"/>
          <w:sz w:val="21"/>
        </w:rPr>
        <w:t>[待測]</w:t>
      </w:r>
      <w:r>
        <w:rPr>
          <w:rFonts w:eastAsia="標楷體" w:ascii="Times New Roman" w:hAnsi="Times New Roman"/>
          <w:b w:val="0"/>
          <w:i w:val="0"/>
          <w:sz w:val="24"/>
        </w:rPr>
        <w:t>，待 EKF／動態阻抗實作後於 PC 與 MCU 上施測）：</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初值錯誤恢復</w:t>
      </w:r>
      <w:r>
        <w:rPr>
          <w:rFonts w:eastAsia="標楷體" w:ascii="Times New Roman" w:hAnsi="Times New Roman"/>
          <w:b w:val="0"/>
          <w:i w:val="0"/>
          <w:sz w:val="24"/>
        </w:rPr>
        <w:t xml:space="preserve">：初值偏移 </w:t>
      </w:r>
      <w:r>
        <w:rPr>
          <w:rFonts w:eastAsia="標楷體" w:ascii="Times New Roman" w:hAnsi="Times New Roman"/>
          <w:b w:val="0"/>
          <w:i w:val="0"/>
          <w:sz w:val="24"/>
        </w:rPr>
        <w:t>± 20%</w:t>
      </w:r>
      <w:r>
        <w:rPr>
          <w:rFonts w:eastAsia="標楷體" w:ascii="Times New Roman" w:hAnsi="Times New Roman"/>
          <w:b w:val="0"/>
          <w:i w:val="0"/>
          <w:sz w:val="24"/>
        </w:rPr>
        <w:t>。預期庫倫計數誤差永久不收斂（無修正機制）、EKF 於數十秒至數分鐘內收斂、動態阻抗於首個擾動事件即可獨立重估（理論上最快擺脫錯誤初值）。</w:t>
      </w:r>
      <w:r>
        <w:rPr>
          <w:rFonts w:eastAsia="標楷體" w:ascii="Consolas" w:hAnsi="Consolas"/>
          <w:b w:val="0"/>
          <w:i w:val="0"/>
          <w:sz w:val="21"/>
        </w:rPr>
        <w:t>[待測]</w:t>
      </w:r>
      <w:r>
        <w:rPr>
          <w:rFonts w:eastAsia="標楷體" w:ascii="Times New Roman" w:hAnsi="Times New Roman"/>
          <w:b w:val="0"/>
          <w:i w:val="0"/>
          <w:sz w:val="24"/>
        </w:rPr>
        <w:t xml:space="preserve"> 各法 </w:t>
      </w:r>
      <w:r>
        <w:rPr>
          <w:rFonts w:eastAsia="標楷體" w:ascii="Times New Roman" w:hAnsi="Times New Roman"/>
          <w:b w:val="0"/>
          <w:i w:val="0"/>
          <w:sz w:val="24"/>
        </w:rPr>
        <w:t xml:space="preserve">t</w:t>
      </w:r>
      <w:r>
        <w:rPr>
          <w:rFonts w:eastAsia="標楷體" w:ascii="Times New Roman" w:hAnsi="Times New Roman"/>
          <w:b w:val="0"/>
          <w:i w:val="0"/>
          <w:sz w:val="24"/>
          <w:vertAlign w:val="subscript"/>
        </w:rPr>
        <w:t xml:space="preserve">conv</w:t>
      </w:r>
      <w:r>
        <w:rPr>
          <w:rFonts w:eastAsia="標楷體" w:ascii="Times New Roman" w:hAnsi="Times New Roman"/>
          <w:b w:val="0"/>
          <w:i w:val="0"/>
          <w:sz w:val="24"/>
        </w:rPr>
        <w:t xml:space="preserve"> 與穩態誤差。</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C-rate 切換</w:t>
      </w:r>
      <w:r>
        <w:rPr>
          <w:rFonts w:eastAsia="標楷體" w:ascii="Times New Roman" w:hAnsi="Times New Roman"/>
          <w:b w:val="0"/>
          <w:i w:val="0"/>
          <w:sz w:val="24"/>
        </w:rPr>
        <w:t xml:space="preserve">：於放電中切換倍率，觀察誤差尖峰。預期 EKF 因 RC 模型可吸收暫態、動態阻抗於切換瞬間 </w:t>
      </w:r>
      <w:r>
        <w:rPr>
          <w:rFonts w:eastAsia="標楷體" w:ascii="Times New Roman" w:hAnsi="Times New Roman"/>
          <w:b w:val="0"/>
          <w:i w:val="0"/>
          <w:sz w:val="24"/>
        </w:rPr>
        <w:t>Δ I</w:t>
      </w:r>
      <w:r>
        <w:rPr>
          <w:rFonts w:eastAsia="標楷體" w:ascii="Times New Roman" w:hAnsi="Times New Roman"/>
          <w:b w:val="0"/>
          <w:i w:val="0"/>
          <w:sz w:val="24"/>
        </w:rPr>
        <w:t xml:space="preserve"> 異常需剔除該事件。</w:t>
      </w:r>
      <w:r>
        <w:rPr>
          <w:rFonts w:eastAsia="標楷體" w:ascii="Consolas" w:hAnsi="Consolas"/>
          <w:b w:val="0"/>
          <w:i w:val="0"/>
          <w:sz w:val="21"/>
        </w:rPr>
        <w:t>[待測]</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噪聲抗性</w:t>
      </w:r>
      <w:r>
        <w:rPr>
          <w:rFonts w:eastAsia="標楷體" w:ascii="Times New Roman" w:hAnsi="Times New Roman"/>
          <w:b w:val="0"/>
          <w:i w:val="0"/>
          <w:sz w:val="24"/>
        </w:rPr>
        <w:t xml:space="preserve">：人為注入電流／電壓量測噪聲，比較三法 SOC 抖動。預期 EKF 因 </w:t>
      </w:r>
      <w:r>
        <w:rPr>
          <w:rFonts w:eastAsia="標楷體" w:ascii="Times New Roman" w:hAnsi="Times New Roman"/>
          <w:b w:val="0"/>
          <w:i w:val="0"/>
          <w:sz w:val="24"/>
        </w:rPr>
        <w:t>Q/R</w:t>
      </w:r>
      <w:r>
        <w:rPr>
          <w:rFonts w:eastAsia="標楷體" w:ascii="Times New Roman" w:hAnsi="Times New Roman"/>
          <w:b w:val="0"/>
          <w:i w:val="0"/>
          <w:sz w:val="24"/>
        </w:rPr>
        <w:t xml:space="preserve"> 濾波最穩、庫倫計數對電流噪聲積分平均、動態阻抗對單點差分噪聲最敏感。</w:t>
      </w:r>
      <w:r>
        <w:rPr>
          <w:rFonts w:eastAsia="標楷體" w:ascii="Consolas" w:hAnsi="Consolas"/>
          <w:b w:val="0"/>
          <w:i w:val="0"/>
          <w:sz w:val="21"/>
        </w:rPr>
        <w:t>[待測]</w:t>
      </w:r>
      <w:r>
        <w:rPr>
          <w:rFonts w:eastAsia="標楷體" w:ascii="Times New Roman" w:hAnsi="Times New Roman"/>
          <w:b w:val="0"/>
          <w:i w:val="0"/>
          <w:sz w:val="24"/>
        </w:rPr>
        <w: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b w:val="0"/>
                <w:i w:val="0"/>
                <w:sz w:val="21"/>
              </w:rPr>
              <w:t xml:space="preserve">初值 </w:t>
            </w:r>
            <w:r>
              <w:rPr>
                <w:rFonts w:eastAsia="標楷體" w:ascii="Times New Roman" w:hAnsi="Times New Roman"/>
                <w:b w:val="0"/>
                <w:i w:val="0"/>
                <w:sz w:val="21"/>
              </w:rPr>
              <w:t>-20%</w:t>
            </w:r>
            <w:r>
              <w:rPr>
                <w:rFonts w:eastAsia="標楷體" w:ascii="Times New Roman" w:hAnsi="Times New Roman"/>
                <w:b w:val="0"/>
                <w:i w:val="0"/>
                <w:sz w:val="21"/>
              </w:rPr>
              <w:t xml:space="preserve"> 恢復</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C-rate 切換尖峰</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4-5</w:t>
      </w:r>
      <w:r>
        <w:rPr>
          <w:rFonts w:eastAsia="標楷體" w:ascii="Times New Roman" w:hAnsi="Times New Roman"/>
          <w:b w:val="0"/>
          <w:i w:val="0"/>
          <w:sz w:val="22"/>
        </w:rPr>
        <w:t xml:space="preserve">　三法強健性比較（待實驗填入）</w:t>
      </w:r>
    </w:p>
    <w:p>
      <w:pPr>
        <w:spacing w:before="160" w:after="80" w:lineRule="atLeast" w:line="360"/>
        <w:jc w:val="left"/>
      </w:pPr>
      <w:r>
        <w:rPr>
          <w:rFonts w:eastAsia="標楷體" w:ascii="Times New Roman" w:hAnsi="Times New Roman"/>
          <w:b/>
          <w:i w:val="0"/>
          <w:sz w:val="26"/>
        </w:rPr>
        <w:t>4.4.3 嵌入式 footprint 比較</w:t>
      </w:r>
    </w:p>
    <w:p>
      <w:pPr>
        <w:spacing w:lineRule="atLeast" w:line="480"/>
        <w:ind w:firstLine="480"/>
        <w:jc w:val="both"/>
      </w:pPr>
      <w:r>
        <w:rPr>
          <w:rFonts w:eastAsia="標楷體" w:ascii="Times New Roman" w:hAnsi="Times New Roman"/>
          <w:b w:val="0"/>
          <w:i w:val="0"/>
          <w:sz w:val="24"/>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7"/>
        <w:gridCol w:w="1433"/>
        <w:gridCol w:w="1274"/>
        <w:gridCol w:w="1114"/>
        <w:gridCol w:w="796"/>
        <w:gridCol w:w="3346"/>
      </w:tblGrid>
      <w:tr>
        <w:tc>
          <w:tcPr>
            <w:tcW w:type="dxa" w:w="637"/>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433"/>
            <w:shd w:val="clear" w:color="auto" w:fill="D9E2F3"/>
            <w:vAlign w:val="center"/>
          </w:tcPr>
          <w:p>
            <w:pPr>
              <w:spacing w:before="20" w:after="20" w:lineRule="atLeast" w:line="280"/>
              <w:jc w:val="center"/>
            </w:pPr>
            <w:r>
              <w:rPr>
                <w:rFonts w:eastAsia="標楷體" w:ascii="Times New Roman" w:hAnsi="Times New Roman"/>
                <w:b/>
                <w:i w:val="0"/>
                <w:sz w:val="21"/>
              </w:rPr>
              <w:t>程式空間 (KB)</w:t>
            </w:r>
          </w:p>
        </w:tc>
        <w:tc>
          <w:tcPr>
            <w:tcW w:type="dxa" w:w="1274"/>
            <w:shd w:val="clear" w:color="auto" w:fill="D9E2F3"/>
            <w:vAlign w:val="center"/>
          </w:tcPr>
          <w:p>
            <w:pPr>
              <w:spacing w:before="20" w:after="20" w:lineRule="atLeast" w:line="280"/>
              <w:jc w:val="center"/>
            </w:pPr>
            <w:r>
              <w:rPr>
                <w:rFonts w:eastAsia="標楷體" w:ascii="Times New Roman" w:hAnsi="Times New Roman"/>
                <w:b/>
                <w:i w:val="0"/>
                <w:sz w:val="21"/>
              </w:rPr>
              <w:t>記憶體 (KB)</w:t>
            </w:r>
          </w:p>
        </w:tc>
        <w:tc>
          <w:tcPr>
            <w:tcW w:type="dxa" w:w="1114"/>
            <w:shd w:val="clear" w:color="auto" w:fill="D9E2F3"/>
            <w:vAlign w:val="center"/>
          </w:tcPr>
          <w:p>
            <w:pPr>
              <w:spacing w:before="20" w:after="20" w:lineRule="atLeast" w:line="280"/>
              <w:jc w:val="center"/>
            </w:pPr>
            <w:r>
              <w:rPr>
                <w:rFonts w:eastAsia="標楷體" w:ascii="Times New Roman" w:hAnsi="Times New Roman"/>
                <w:b/>
                <w:i w:val="0"/>
                <w:sz w:val="21"/>
              </w:rPr>
              <w:t>每次更新運算量</w:t>
            </w:r>
          </w:p>
        </w:tc>
        <w:tc>
          <w:tcPr>
            <w:tcW w:type="dxa" w:w="796"/>
            <w:shd w:val="clear" w:color="auto" w:fill="D9E2F3"/>
            <w:vAlign w:val="center"/>
          </w:tcPr>
          <w:p>
            <w:pPr>
              <w:spacing w:before="20" w:after="20" w:lineRule="atLeast" w:line="280"/>
              <w:jc w:val="center"/>
            </w:pPr>
            <w:r>
              <w:rPr>
                <w:rFonts w:eastAsia="標楷體" w:ascii="Times New Roman" w:hAnsi="Times New Roman"/>
                <w:b/>
                <w:i w:val="0"/>
                <w:sz w:val="21"/>
              </w:rPr>
              <w:t>是否需浮點</w:t>
            </w:r>
          </w:p>
        </w:tc>
        <w:tc>
          <w:tcPr>
            <w:tcW w:type="dxa" w:w="33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37"/>
            <w:vAlign w:val="center"/>
          </w:tcPr>
          <w:p>
            <w:pPr>
              <w:spacing w:before="20" w:after="20" w:lineRule="atLeast" w:line="280"/>
              <w:jc w:val="left"/>
            </w:pPr>
            <w:r>
              <w:rPr>
                <w:rFonts w:eastAsia="標楷體" w:ascii="Times New Roman" w:hAnsi="Times New Roman"/>
                <w:b w:val="0"/>
                <w:i w:val="0"/>
                <w:sz w:val="21"/>
              </w:rPr>
              <w:t>庫倫計數</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否</w:t>
            </w:r>
          </w:p>
        </w:tc>
        <w:tc>
          <w:tcPr>
            <w:tcW w:type="dxa" w:w="3346"/>
            <w:vAlign w:val="center"/>
          </w:tcPr>
          <w:p>
            <w:pPr>
              <w:spacing w:before="20" w:after="20" w:lineRule="atLeast" w:line="280"/>
              <w:jc w:val="left"/>
            </w:pPr>
            <w:r>
              <w:rPr>
                <w:rFonts w:eastAsia="標楷體" w:ascii="Times New Roman" w:hAnsi="Times New Roman"/>
                <w:b w:val="0"/>
                <w:i w:val="0"/>
                <w:sz w:val="21"/>
              </w:rPr>
              <w:t>資源下界</w:t>
            </w:r>
          </w:p>
        </w:tc>
      </w:tr>
      <w:tr>
        <w:tc>
          <w:tcPr>
            <w:tcW w:type="dxa" w:w="637"/>
            <w:vAlign w:val="center"/>
          </w:tcPr>
          <w:p>
            <w:pPr>
              <w:spacing w:before="20" w:after="20" w:lineRule="atLeast" w:line="280"/>
              <w:jc w:val="left"/>
            </w:pPr>
            <w:r>
              <w:rPr>
                <w:rFonts w:eastAsia="標楷體" w:ascii="Times New Roman" w:hAnsi="Times New Roman"/>
                <w:b w:val="0"/>
                <w:i w:val="0"/>
                <w:sz w:val="21"/>
              </w:rPr>
              <w:t>EKF</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另需一張開路電壓對照表（約 0.4 KB）</w:t>
            </w:r>
          </w:p>
        </w:tc>
      </w:tr>
      <w:tr>
        <w:tc>
          <w:tcPr>
            <w:tcW w:type="dxa" w:w="637"/>
            <w:vAlign w:val="center"/>
          </w:tcPr>
          <w:p>
            <w:pPr>
              <w:spacing w:before="20" w:after="20" w:lineRule="atLeast" w:line="280"/>
              <w:jc w:val="left"/>
            </w:pPr>
            <w:r>
              <w:rPr>
                <w:rFonts w:eastAsia="標楷體" w:ascii="Times New Roman" w:hAnsi="Times New Roman"/>
                <w:b w:val="0"/>
                <w:i w:val="0"/>
                <w:sz w:val="21"/>
              </w:rPr>
              <w:t>動態阻抗</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只需存幾個係數</w:t>
            </w:r>
          </w:p>
        </w:tc>
      </w:tr>
    </w:tbl>
    <w:p>
      <w:pPr>
        <w:spacing w:before="60" w:after="160" w:lineRule="atLeast" w:line="320"/>
        <w:jc w:val="center"/>
      </w:pPr>
      <w:r>
        <w:rPr>
          <w:rFonts w:eastAsia="標楷體" w:ascii="Times New Roman" w:hAnsi="Times New Roman"/>
          <w:b/>
          <w:i w:val="0"/>
          <w:sz w:val="22"/>
        </w:rPr>
        <w:t>表 4-6</w:t>
      </w:r>
      <w:r>
        <w:rPr>
          <w:rFonts w:eastAsia="標楷體" w:ascii="Times New Roman" w:hAnsi="Times New Roman"/>
          <w:b w:val="0"/>
          <w:i w:val="0"/>
          <w:sz w:val="22"/>
        </w:rPr>
        <w:t xml:space="preserve">　三法嵌入式資源佔用比較（同一微控制器實測，待量測填入）。因所用微控制器無硬體浮點運算單元，浮點運算改以軟體模擬，預期 EKF 之每次更新運算量顯著高於另二法。</w:t>
      </w:r>
    </w:p>
    <w:p>
      <w:pPr>
        <w:spacing w:lineRule="atLeast" w:line="480"/>
        <w:ind w:firstLine="480"/>
        <w:jc w:val="both"/>
      </w:pPr>
      <w:r>
        <w:rPr>
          <w:rFonts w:eastAsia="標楷體" w:ascii="Times New Roman" w:hAnsi="Times New Roman"/>
          <w:b w:val="0"/>
          <w:i w:val="0"/>
          <w:sz w:val="24"/>
        </w:rPr>
        <w:t>此表預期清楚呈現「精度—資源」權衡：庫倫計數最省資源但無自我修正能力；EKF 精度與強健性最佳，但程式空間、記憶體與運算量代價最高；動態阻抗居中且實驗成本最低。此即第二章 2.3 節所述「商用晶片為何多捨 EKF」之量化佐證——本研究恰以同硬體實測填補文獻少見之缺口。</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b w:val="0"/>
          <w:i w:val="0"/>
          <w:sz w:val="24"/>
        </w:rPr>
        <w:t>綜合精度、強健性與資源三軸，依目標應用之約束給出方法選用建議（待 4.4.1–4.4.3 數據齊備後，將以實測值支撐下表結論；目前為基於原理與設計的預期）：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35"/>
        <w:gridCol w:w="2310"/>
        <w:gridCol w:w="2055"/>
      </w:tblGrid>
      <w:tr>
        <w:tc>
          <w:tcPr>
            <w:tcW w:type="dxa" w:w="4235"/>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310"/>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2055"/>
            <w:shd w:val="clear" w:color="auto" w:fill="D9E2F3"/>
            <w:vAlign w:val="center"/>
          </w:tcPr>
          <w:p>
            <w:pPr>
              <w:spacing w:before="20" w:after="20" w:lineRule="atLeast" w:line="280"/>
              <w:jc w:val="center"/>
            </w:pPr>
            <w:r>
              <w:rPr>
                <w:rFonts w:eastAsia="標楷體" w:ascii="Times New Roman" w:hAnsi="Times New Roman"/>
                <w:b/>
                <w:i w:val="0"/>
                <w:sz w:val="21"/>
              </w:rPr>
              <w:t>理由（待實測佐證）</w:t>
            </w:r>
          </w:p>
        </w:tc>
      </w:tr>
      <w:tr>
        <w:tc>
          <w:tcPr>
            <w:tcW w:type="dxa" w:w="4235"/>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310"/>
            <w:vAlign w:val="center"/>
          </w:tcPr>
          <w:p>
            <w:pPr>
              <w:spacing w:before="20" w:after="20" w:lineRule="atLeast" w:line="280"/>
              <w:jc w:val="left"/>
            </w:pPr>
            <w:r>
              <w:rPr>
                <w:rFonts w:eastAsia="標楷體" w:ascii="Times New Roman" w:hAnsi="Times New Roman"/>
                <w:b w:val="0"/>
                <w:i w:val="0"/>
                <w:sz w:val="21"/>
              </w:rPr>
              <w:t>庫倫計數 + 靜置 OCV 週期修正</w:t>
            </w:r>
          </w:p>
        </w:tc>
        <w:tc>
          <w:tcPr>
            <w:tcW w:type="dxa" w:w="2055"/>
            <w:vAlign w:val="center"/>
          </w:tcPr>
          <w:p>
            <w:pPr>
              <w:spacing w:before="20" w:after="20" w:lineRule="atLeast" w:line="280"/>
              <w:jc w:val="left"/>
            </w:pPr>
            <w:r>
              <w:rPr>
                <w:rFonts w:eastAsia="標楷體" w:ascii="Times New Roman" w:hAnsi="Times New Roman"/>
                <w:b w:val="0"/>
                <w:i w:val="0"/>
                <w:sz w:val="21"/>
              </w:rPr>
              <w:t>資源下界；以靜置修正補漂移</w:t>
            </w:r>
          </w:p>
        </w:tc>
      </w:tr>
      <w:tr>
        <w:tc>
          <w:tcPr>
            <w:tcW w:type="dxa" w:w="4235"/>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310"/>
            <w:vAlign w:val="center"/>
          </w:tcPr>
          <w:p>
            <w:pPr>
              <w:spacing w:before="20" w:after="20" w:lineRule="atLeast" w:line="280"/>
              <w:jc w:val="left"/>
            </w:pPr>
            <w:r>
              <w:rPr>
                <w:rFonts w:eastAsia="標楷體" w:ascii="Times New Roman" w:hAnsi="Times New Roman"/>
                <w:b w:val="0"/>
                <w:i w:val="0"/>
                <w:sz w:val="21"/>
              </w:rPr>
              <w:t>EKF（一階 RC）</w:t>
            </w:r>
          </w:p>
        </w:tc>
        <w:tc>
          <w:tcPr>
            <w:tcW w:type="dxa" w:w="2055"/>
            <w:vAlign w:val="center"/>
          </w:tcPr>
          <w:p>
            <w:pPr>
              <w:spacing w:before="20" w:after="20" w:lineRule="atLeast" w:line="280"/>
              <w:jc w:val="left"/>
            </w:pPr>
            <w:r>
              <w:rPr>
                <w:rFonts w:eastAsia="標楷體" w:ascii="Times New Roman" w:hAnsi="Times New Roman"/>
                <w:b w:val="0"/>
                <w:i w:val="0"/>
                <w:sz w:val="21"/>
              </w:rPr>
              <w:t>精度／強健性最佳，資源代價可接受</w:t>
            </w:r>
          </w:p>
        </w:tc>
      </w:tr>
      <w:tr>
        <w:tc>
          <w:tcPr>
            <w:tcW w:type="dxa" w:w="4235"/>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310"/>
            <w:vAlign w:val="center"/>
          </w:tcPr>
          <w:p>
            <w:pPr>
              <w:spacing w:before="20" w:after="20" w:lineRule="atLeast" w:line="280"/>
              <w:jc w:val="left"/>
            </w:pPr>
            <w:r>
              <w:rPr>
                <w:rFonts w:eastAsia="標楷體" w:ascii="Times New Roman" w:hAnsi="Times New Roman"/>
                <w:b w:val="0"/>
                <w:i w:val="0"/>
                <w:sz w:val="21"/>
              </w:rPr>
              <w:t>動態阻抗</w:t>
            </w:r>
          </w:p>
        </w:tc>
        <w:tc>
          <w:tcPr>
            <w:tcW w:type="dxa" w:w="2055"/>
            <w:vAlign w:val="center"/>
          </w:tcPr>
          <w:p>
            <w:pPr>
              <w:spacing w:before="20" w:after="20" w:lineRule="atLeast" w:line="280"/>
              <w:jc w:val="left"/>
            </w:pPr>
            <w:r>
              <w:rPr>
                <w:rFonts w:eastAsia="標楷體" w:ascii="Times New Roman" w:hAnsi="Times New Roman"/>
                <w:b w:val="0"/>
                <w:i w:val="0"/>
                <w:sz w:val="21"/>
              </w:rPr>
              <w:t>無須初值與靜置；複用既有擾動</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b w:val="0"/>
          <w:i w:val="0"/>
          <w:sz w:val="24"/>
        </w:rPr>
        <w:t>本章於第三章建立的統一平台上，依「原理 → 演算法 → 嵌入式實作 → 實驗結果」一致結構，實作並比較三種 SOC 估測方法。</w:t>
      </w:r>
      <w:r>
        <w:rPr>
          <w:rFonts w:eastAsia="標楷體" w:ascii="Times New Roman" w:hAnsi="Times New Roman"/>
          <w:b/>
          <w:i w:val="0"/>
          <w:sz w:val="24"/>
        </w:rPr>
        <w:t>已完成且實測</w:t>
      </w:r>
      <w:r>
        <w:rPr>
          <w:rFonts w:eastAsia="標楷體" w:ascii="Times New Roman" w:hAnsi="Times New Roman"/>
          <w:b w:val="0"/>
          <w:i w:val="0"/>
          <w:sz w:val="24"/>
        </w:rPr>
        <w:t>者為：庫倫計數法之設計與其作為逐 cycle 基準真值的正當性論證、rounds 1–23 之 rate-capability 實測（此 NMC 電池 0.5C→2.0C 容量僅降約 1%，為公平比較之有利條件），以及</w:t>
      </w:r>
      <w:r>
        <w:rPr>
          <w:rFonts w:eastAsia="標楷體" w:ascii="Times New Roman" w:hAnsi="Times New Roman"/>
          <w:b/>
          <w:i w:val="0"/>
          <w:sz w:val="24"/>
        </w:rPr>
        <w:t>動態阻抗法之完整實測</w:t>
      </w:r>
      <w:r>
        <w:rPr>
          <w:rFonts w:eastAsia="標楷體" w:ascii="Times New Roman" w:hAnsi="Times New Roman"/>
          <w:b w:val="0"/>
          <w:i w:val="0"/>
          <w:sz w:val="24"/>
        </w:rPr>
        <w:t xml:space="preserve">——其 </w:t>
      </w:r>
      <w:r>
        <w:rPr>
          <w:rFonts w:eastAsia="標楷體" w:ascii="Times New Roman" w:hAnsi="Times New Roman"/>
          <w:b w:val="0"/>
          <w:i w:val="0"/>
          <w:sz w:val="24"/>
        </w:rPr>
        <w:t>|Δ V/Δ I|</w:t>
      </w:r>
      <w:r>
        <w:rPr>
          <w:rFonts w:eastAsia="標楷體" w:ascii="Times New Roman" w:hAnsi="Times New Roman"/>
          <w:b w:val="0"/>
          <w:i w:val="0"/>
          <w:sz w:val="24"/>
        </w:rPr>
        <w:t>–SOC 二次擬合（最低點約在 SOC 53%，與理論一致；高倍率擬合殘差低至約 0.5 mΩ），以及以該擬合反推 SOC 之逐點精度（各倍率 RMSE 約 6～10%、SOC 中段較差），後者量化地揭示了單獨反推在中段的病態性，正當化了「阻抗離散校正＋庫倫內插」之混合策略。</w:t>
      </w:r>
      <w:r>
        <w:rPr>
          <w:rFonts w:eastAsia="標楷體" w:ascii="Times New Roman" w:hAnsi="Times New Roman"/>
          <w:b/>
          <w:i w:val="0"/>
          <w:sz w:val="24"/>
        </w:rPr>
        <w:t>設計完成、實驗待跑</w:t>
      </w:r>
      <w:r>
        <w:rPr>
          <w:rFonts w:eastAsia="標楷體" w:ascii="Times New Roman" w:hAnsi="Times New Roman"/>
          <w:b w:val="0"/>
          <w:i w:val="0"/>
          <w:sz w:val="24"/>
        </w:rPr>
        <w:t>者為：EKF（一階 RC，狀態二維、增益免矩陣求逆）之完整演算法與嵌入式實作設計，以及 4.4 之三方法整體精度／強健性／資源佔用比較。</w:t>
      </w:r>
    </w:p>
    <w:p>
      <w:pPr>
        <w:spacing w:lineRule="atLeast" w:line="480"/>
        <w:ind w:firstLine="480"/>
        <w:jc w:val="both"/>
      </w:pPr>
      <w:r>
        <w:rPr>
          <w:rFonts w:eastAsia="標楷體" w:ascii="Times New Roman" w:hAnsi="Times New Roman"/>
          <w:b w:val="0"/>
          <w:i w:val="0"/>
          <w:sz w:val="24"/>
        </w:rPr>
        <w:t xml:space="preserve">凡尚未實測之數值均誠實標註 </w:t>
      </w:r>
      <w:r>
        <w:rPr>
          <w:rFonts w:eastAsia="標楷體" w:ascii="Consolas" w:hAnsi="Consolas"/>
          <w:b w:val="0"/>
          <w:i w:val="0"/>
          <w:sz w:val="21"/>
        </w:rPr>
        <w:t>[待測]</w:t>
      </w:r>
      <w:r>
        <w:rPr>
          <w:rFonts w:eastAsia="標楷體" w:ascii="Times New Roman" w:hAnsi="Times New Roman"/>
          <w:b w:val="0"/>
          <w:i w:val="0"/>
          <w:sz w:val="24"/>
        </w:rPr>
        <w:t>，未以虛構數據充數。待開路電壓對照表建立、EKF 原型與嵌入式移植完成後，4.2.5 與 4.4 各表將以同一電池、同一協定、同一微控制器之實測值填入，屆時即構成本論文回應「嵌入式環境下公平比較」研究缺口之核心證據。第五章將在此基礎上，討論三法並行於同一微控制器的整合策略、運算負載分配、fresh-cell 三輪變異性，以及實驗過程之工程教訓。</w:t>
      </w:r>
    </w:p>
    <w:p>
      <w:pPr>
        <w:pStyle w:val="1"/>
      </w:pPr>
      <w:r>
        <w:rPr>
          <w:rFonts w:ascii="Times New Roman" w:hAnsi="Times New Roman" w:eastAsia="標楷體"/>
          <w:b/>
          <w:sz w:val="32"/>
          <w:color w:val="000000"/>
        </w:rPr>
        <w:t>第五章　系統整合與性能評估</w:t>
      </w:r>
    </w:p>
    <w:p>
      <w:pPr>
        <w:spacing w:line="360" w:lineRule="exact"/>
        <w:jc w:val="left"/>
      </w:pPr>
      <w:r>
        <w:rPr>
          <w:rFonts w:ascii="Times New Roman" w:hAnsi="Times New Roman" w:eastAsia="標楷體"/>
          <w:b/>
          <w:sz w:val="28"/>
        </w:rPr>
        <w:t>5.1 多方法並行於同一微控制器之整合策略</w:t>
      </w:r>
    </w:p>
    <w:p>
      <w:pPr>
        <w:spacing w:line="480" w:lineRule="exact"/>
        <w:ind w:firstLine="480"/>
        <w:jc w:val="both"/>
      </w:pPr>
      <w:r>
        <w:rPr>
          <w:rFonts w:ascii="Times New Roman" w:hAnsi="Times New Roman" w:eastAsia="標楷體"/>
          <w:b w:val="0"/>
          <w:sz w:val="24"/>
        </w:rPr>
        <w:t>第四章將三種估測方法各自視為可替換的核心模組掛載於共用骨架上、逐一比較。本節進一步探討一個實務問題：若要讓三種方法</w:t>
      </w:r>
      <w:r>
        <w:rPr>
          <w:rFonts w:ascii="Times New Roman" w:hAnsi="Times New Roman" w:eastAsia="標楷體"/>
          <w:b/>
          <w:sz w:val="24"/>
        </w:rPr>
        <w:t>同時</w:t>
      </w:r>
      <w:r>
        <w:rPr>
          <w:rFonts w:ascii="Times New Roman" w:hAnsi="Times New Roman" w:eastAsia="標楷體"/>
          <w:b w:val="0"/>
          <w:sz w:val="24"/>
        </w:rPr>
        <w:t>運行於同一顆微控制器（例如以庫倫計數提供連續高解析度軌跡、以動態阻抗在擾動事件處做無須初值的離散校正、以 EKF 融合兩者並提供初值錯誤恢復能力），整合上需要何種架構？</w:t>
      </w:r>
    </w:p>
    <w:p>
      <w:pPr>
        <w:spacing w:line="480" w:lineRule="exact"/>
        <w:ind w:firstLine="480"/>
        <w:jc w:val="both"/>
      </w:pPr>
      <w:r>
        <w:rPr>
          <w:rFonts w:ascii="Times New Roman" w:hAnsi="Times New Roman" w:eastAsia="標楷體"/>
          <w:b w:val="0"/>
          <w:sz w:val="24"/>
        </w:rPr>
        <w:t>本平台之韌體骨架採第三章所述之三層狀態機（task / flow / process）裸機架構，所有週期性工作掛載於固定的系統節拍（100 µs tick）之上，估測模組則於每秒邊界觸發一次。三法並行的整合策略為</w:t>
      </w:r>
      <w:r>
        <w:rPr>
          <w:rFonts w:ascii="Times New Roman" w:hAnsi="Times New Roman" w:eastAsia="標楷體"/>
          <w:b/>
          <w:sz w:val="24"/>
        </w:rPr>
        <w:t>共用前端、分離估測、統一輸出</w:t>
      </w:r>
      <w:r>
        <w:rPr>
          <w:rFonts w:ascii="Times New Roman" w:hAnsi="Times New Roman" w:eastAsia="標楷體"/>
          <w:b w:val="0"/>
          <w:sz w:val="24"/>
        </w:rPr>
        <w:t>：</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共用量測前端</w:t>
      </w:r>
      <w:r>
        <w:rPr>
          <w:rFonts w:ascii="Times New Roman" w:hAnsi="Times New Roman" w:eastAsia="標楷體"/>
          <w:b w:val="0"/>
          <w:sz w:val="24"/>
        </w:rPr>
        <w:t xml:space="preserve">：INA226 經校正後的電流 I</w:t>
      </w:r>
      <w:r>
        <w:rPr>
          <w:rFonts w:ascii="Times New Roman" w:hAnsi="Times New Roman" w:eastAsia="標楷體"/>
          <w:b w:val="0"/>
          <w:sz w:val="24"/>
          <w:vertAlign w:val="subscript"/>
        </w:rPr>
        <w:t xml:space="preserve">k</w:t>
      </w:r>
      <w:r>
        <w:rPr>
          <w:rFonts w:ascii="Times New Roman" w:hAnsi="Times New Roman" w:eastAsia="標楷體"/>
          <w:b w:val="0"/>
          <w:sz w:val="24"/>
        </w:rPr>
        <w:t xml:space="preserve"> 與端電壓 V</w:t>
      </w:r>
      <w:r>
        <w:rPr>
          <w:rFonts w:ascii="Times New Roman" w:hAnsi="Times New Roman" w:eastAsia="標楷體"/>
          <w:b w:val="0"/>
          <w:sz w:val="24"/>
          <w:vertAlign w:val="subscript"/>
        </w:rPr>
        <w:t xml:space="preserve">t</w:t>
      </w:r>
      <w:r>
        <w:rPr>
          <w:rFonts w:ascii="Times New Roman" w:hAnsi="Times New Roman" w:eastAsia="標楷體"/>
          <w:b w:val="0"/>
          <w:sz w:val="24"/>
        </w:rPr>
        <w:t xml:space="preserve">,k 由單一取樣路徑產生，三法共讀同一筆量測，杜絕「不同方法吃到不同量測」導致的不公平與不一致。</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分離估測核心</w:t>
      </w:r>
      <w:r>
        <w:rPr>
          <w:rFonts w:ascii="Times New Roman" w:hAnsi="Times New Roman" w:eastAsia="標楷體"/>
          <w:b w:val="0"/>
          <w:sz w:val="24"/>
        </w:rPr>
        <w:t>：三個估測模組各自維護獨立狀態（庫倫計數的累計電荷、EKF 的狀態向量與協方差、動態阻抗的擾動偵測與係數表），互不干擾，可獨立開關。</w:t>
      </w:r>
    </w:p>
    <w:p>
      <w:pPr>
        <w:spacing w:line="480" w:lineRule="exact"/>
        <w:ind w:firstLine="480"/>
        <w:jc w:val="both"/>
      </w:pPr>
      <w:r>
        <w:rPr>
          <w:rFonts w:ascii="Times New Roman" w:hAnsi="Times New Roman" w:eastAsia="標楷體"/>
          <w:b w:val="0"/>
          <w:sz w:val="24"/>
        </w:rPr>
        <w:t xml:space="preserve">3. </w:t>
      </w:r>
      <w:r>
        <w:rPr>
          <w:rFonts w:ascii="Times New Roman" w:hAnsi="Times New Roman" w:eastAsia="標楷體"/>
          <w:b/>
          <w:sz w:val="24"/>
        </w:rPr>
        <w:t>統一輸出與交叉校正介面</w:t>
      </w:r>
      <w:r>
        <w:rPr>
          <w:rFonts w:ascii="Times New Roman" w:hAnsi="Times New Roman" w:eastAsia="標楷體"/>
          <w:b w:val="0"/>
          <w:sz w:val="24"/>
        </w:rPr>
        <w:t>：三法估測值匯入同一狀態回報結構，每秒輸出。此介面同時預留「動態阻抗事件 → 重置庫倫錨點 / 注入 EKF 量測」的交叉校正掛勾，使混合策略（第四章 4.3.3）得以在不更動骨架的前提下實現。</w:t>
      </w:r>
    </w:p>
    <w:p>
      <w:pPr>
        <w:spacing w:line="480" w:lineRule="exact"/>
        <w:ind w:firstLine="480"/>
        <w:jc w:val="both"/>
      </w:pPr>
      <w:r>
        <w:rPr>
          <w:rFonts w:ascii="Times New Roman" w:hAnsi="Times New Roman" w:eastAsia="標楷體"/>
          <w:b w:val="0"/>
          <w:sz w:val="24"/>
        </w:rPr>
        <w:t>此架構的關鍵優點是</w:t>
      </w:r>
      <w:r>
        <w:rPr>
          <w:rFonts w:ascii="Times New Roman" w:hAnsi="Times New Roman" w:eastAsia="標楷體"/>
          <w:b/>
          <w:sz w:val="24"/>
        </w:rPr>
        <w:t>邊際成本可加性</w:t>
      </w:r>
      <w:r>
        <w:rPr>
          <w:rFonts w:ascii="Times New Roman" w:hAnsi="Times New Roman" w:eastAsia="標楷體"/>
          <w:b w:val="0"/>
          <w:sz w:val="24"/>
        </w:rPr>
        <w:t>：由於三法共用前端、僅估測核心分離，三法並行的總資源佔用近似於三者各自 footprint（第四章表 4-6）之和，再加上共用前端一次。據此可在 4.4.3 footprint 量測完成後，直接推估「全方法並行」版本的資源上界，作為目標微控制器選型的依據。</w:t>
      </w:r>
      <w:r>
        <w:rPr>
          <w:rFonts w:ascii="Times New Roman" w:hAnsi="Times New Roman" w:eastAsia="標楷體"/>
          <w:b w:val="0"/>
          <w:color w:val="C00000"/>
          <w:sz w:val="24"/>
        </w:rPr>
        <w:t>[待測]</w:t>
      </w:r>
      <w:r>
        <w:rPr>
          <w:rFonts w:ascii="Times New Roman" w:hAnsi="Times New Roman" w:eastAsia="標楷體"/>
          <w:b w:val="0"/>
          <w:sz w:val="24"/>
        </w:rPr>
        <w:t xml:space="preserve"> 全方法並行之實測總 footprint，待表 4-6 數值齊備後加總驗證。</w:t>
      </w:r>
    </w:p>
    <w:p>
      <w:pPr>
        <w:spacing w:line="360" w:lineRule="exact"/>
        <w:jc w:val="left"/>
      </w:pPr>
      <w:r>
        <w:rPr>
          <w:rFonts w:ascii="Times New Roman" w:hAnsi="Times New Roman" w:eastAsia="標楷體"/>
          <w:b/>
          <w:sz w:val="28"/>
        </w:rPr>
        <w:t>5.2 即時性與 CPU 負載分配驗證</w:t>
      </w:r>
    </w:p>
    <w:p>
      <w:pPr>
        <w:spacing w:line="480" w:lineRule="exact"/>
        <w:ind w:firstLine="480"/>
        <w:jc w:val="both"/>
      </w:pPr>
      <w:r>
        <w:rPr>
          <w:rFonts w:ascii="Times New Roman" w:hAnsi="Times New Roman" w:eastAsia="標楷體"/>
          <w:b w:val="0"/>
          <w:sz w:val="24"/>
        </w:rPr>
        <w:t>嵌入式 SOC 估測除了精度與資源佔用，尚須驗證</w:t>
      </w:r>
      <w:r>
        <w:rPr>
          <w:rFonts w:ascii="Times New Roman" w:hAnsi="Times New Roman" w:eastAsia="標楷體"/>
          <w:b/>
          <w:sz w:val="24"/>
        </w:rPr>
        <w:t>即時性</w:t>
      </w:r>
      <w:r>
        <w:rPr>
          <w:rFonts w:ascii="Times New Roman" w:hAnsi="Times New Roman" w:eastAsia="標楷體"/>
          <w:b w:val="0"/>
          <w:sz w:val="24"/>
        </w:rPr>
        <w:t>：所有週期性工作必須在其時限內完成，估測更新不得排擠到安全相關工作（如保護判斷）或量測取樣。本節以 100 µs 系統節拍為時間預算單位，驗證三法（含並行）之 CPU 負載落在預算內。</w:t>
      </w:r>
    </w:p>
    <w:p>
      <w:pPr>
        <w:spacing w:line="480" w:lineRule="exact"/>
        <w:ind w:firstLine="480"/>
        <w:jc w:val="both"/>
      </w:pPr>
      <w:r>
        <w:rPr>
          <w:rFonts w:ascii="Times New Roman" w:hAnsi="Times New Roman" w:eastAsia="標楷體"/>
          <w:b/>
          <w:sz w:val="24"/>
        </w:rPr>
        <w:t>時間預算模型</w:t>
      </w:r>
      <w:r>
        <w:rPr>
          <w:rFonts w:ascii="Times New Roman" w:hAnsi="Times New Roman" w:eastAsia="標楷體"/>
          <w:b w:val="0"/>
          <w:sz w:val="24"/>
        </w:rPr>
        <w:t xml:space="preserve">：系統節拍週期 T</w:t>
      </w:r>
      <w:r>
        <w:rPr>
          <w:rFonts w:ascii="Times New Roman" w:hAnsi="Times New Roman" w:eastAsia="標楷體"/>
          <w:b w:val="0"/>
          <w:sz w:val="24"/>
          <w:vertAlign w:val="subscript"/>
        </w:rPr>
        <w:t xml:space="preserve">tick</w:t>
      </w:r>
      <w:r>
        <w:rPr>
          <w:rFonts w:ascii="Times New Roman" w:hAnsi="Times New Roman" w:eastAsia="標楷體"/>
          <w:b w:val="0"/>
          <w:sz w:val="24"/>
        </w:rPr>
        <w:t xml:space="preserve"> = 100 µs，微控制器 SYSCLK 為 64 MHz，故每個 tick 約有 6400 個 CPU cycle 之預算。週期性工作中，量測取樣與通訊回報為固定開銷；估測更新每秒觸發一次（即每 10000 個 tick 觸發一次），其單次運算量即第四章表 4-6 量測之「每次更新 CPU cycles」。由於估測每秒僅一次，即使 EKF 之軟體浮點運算單次耗時最長，只要單次更新可在數個 tick 內完成（或拆分至多個 tick 攤提），即不影響即時性。</w:t>
      </w:r>
    </w:p>
    <w:p>
      <w:pPr>
        <w:spacing w:line="480" w:lineRule="exact"/>
        <w:ind w:firstLine="480"/>
        <w:jc w:val="both"/>
      </w:pPr>
      <w:r>
        <w:rPr>
          <w:rFonts w:ascii="Times New Roman" w:hAnsi="Times New Roman" w:eastAsia="標楷體"/>
          <w:b/>
          <w:sz w:val="24"/>
        </w:rPr>
        <w:t>負載分配驗證方法</w:t>
      </w:r>
      <w:r>
        <w:rPr>
          <w:rFonts w:ascii="Times New Roman" w:hAnsi="Times New Roman" w:eastAsia="標楷體"/>
          <w:b w:val="0"/>
          <w:sz w:val="24"/>
        </w:rPr>
        <w:t>：以實際計時量測三法單次更新所佔 cycle 數，換算成「估測更新觸發當下那一秒」的 CPU 佔用率，並確認其與固定開銷之和遠低於 100%。對 EKF 之軟體浮點負擔，另驗證單次更新是否需跨多個 tick 攤提，以避免單一 tick 超時。</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1"/>
        <w:gridCol w:w="1661"/>
        <w:gridCol w:w="1661"/>
        <w:gridCol w:w="1661"/>
        <w:gridCol w:w="1661"/>
      </w:tblGrid>
      <w:tr>
        <w:tc>
          <w:tcPr>
            <w:tcW w:type="dxa" w:w="1661"/>
            <w:shd w:val="clear" w:color="auto" w:fill="D9E2F3"/>
          </w:tcPr>
          <w:p>
            <w:pPr>
              <w:jc w:val="center"/>
            </w:pPr>
            <w:r/>
            <w:r>
              <w:rPr>
                <w:rFonts w:ascii="Times New Roman" w:hAnsi="Times New Roman" w:eastAsia="標楷體"/>
                <w:b/>
                <w:sz w:val="21"/>
              </w:rPr>
              <w:t>工作項目</w:t>
            </w:r>
          </w:p>
        </w:tc>
        <w:tc>
          <w:tcPr>
            <w:tcW w:type="dxa" w:w="1661"/>
            <w:shd w:val="clear" w:color="auto" w:fill="D9E2F3"/>
          </w:tcPr>
          <w:p>
            <w:pPr>
              <w:jc w:val="center"/>
            </w:pPr>
            <w:r/>
            <w:r>
              <w:rPr>
                <w:rFonts w:ascii="Times New Roman" w:hAnsi="Times New Roman" w:eastAsia="標楷體"/>
                <w:b/>
                <w:sz w:val="21"/>
              </w:rPr>
              <w:t>觸發週期</w:t>
            </w:r>
          </w:p>
        </w:tc>
        <w:tc>
          <w:tcPr>
            <w:tcW w:type="dxa" w:w="1661"/>
            <w:shd w:val="clear" w:color="auto" w:fill="D9E2F3"/>
          </w:tcPr>
          <w:p>
            <w:pPr>
              <w:jc w:val="center"/>
            </w:pPr>
            <w:r/>
            <w:r>
              <w:rPr>
                <w:rFonts w:ascii="Times New Roman" w:hAnsi="Times New Roman" w:eastAsia="標楷體"/>
                <w:b/>
                <w:sz w:val="21"/>
              </w:rPr>
              <w:t>單次 CPU cycles</w:t>
            </w:r>
          </w:p>
        </w:tc>
        <w:tc>
          <w:tcPr>
            <w:tcW w:type="dxa" w:w="1661"/>
            <w:shd w:val="clear" w:color="auto" w:fill="D9E2F3"/>
          </w:tcPr>
          <w:p>
            <w:pPr>
              <w:jc w:val="center"/>
            </w:pPr>
            <w:r/>
            <w:r>
              <w:rPr>
                <w:rFonts w:ascii="Times New Roman" w:hAnsi="Times New Roman" w:eastAsia="標楷體"/>
                <w:b/>
                <w:sz w:val="21"/>
              </w:rPr>
              <w:t>tick 佔用率</w:t>
            </w:r>
          </w:p>
        </w:tc>
        <w:tc>
          <w:tcPr>
            <w:tcW w:type="dxa" w:w="1661"/>
            <w:shd w:val="clear" w:color="auto" w:fill="D9E2F3"/>
          </w:tcPr>
          <w:p>
            <w:pPr>
              <w:jc w:val="center"/>
            </w:pPr>
            <w:r/>
            <w:r>
              <w:rPr>
                <w:rFonts w:ascii="Times New Roman" w:hAnsi="Times New Roman" w:eastAsia="標楷體"/>
                <w:b/>
                <w:sz w:val="21"/>
              </w:rPr>
              <w:t>備註</w:t>
            </w:r>
          </w:p>
        </w:tc>
      </w:tr>
      <w:tr>
        <w:tc>
          <w:tcPr>
            <w:tcW w:type="dxa" w:w="1661"/>
          </w:tcPr>
          <w:p>
            <w:pPr>
              <w:jc w:val="left"/>
            </w:pPr>
            <w:r/>
            <w:r>
              <w:rPr>
                <w:rFonts w:ascii="Times New Roman" w:hAnsi="Times New Roman" w:eastAsia="標楷體"/>
                <w:b w:val="0"/>
                <w:sz w:val="21"/>
              </w:rPr>
              <w:t>系統節拍固定開銷</w:t>
            </w:r>
          </w:p>
        </w:tc>
        <w:tc>
          <w:tcPr>
            <w:tcW w:type="dxa" w:w="1661"/>
          </w:tcPr>
          <w:p>
            <w:pPr>
              <w:jc w:val="left"/>
            </w:pPr>
            <w:r/>
            <w:r>
              <w:rPr>
                <w:rFonts w:ascii="Times New Roman" w:hAnsi="Times New Roman" w:eastAsia="標楷體"/>
                <w:b w:val="0"/>
                <w:sz w:val="21"/>
              </w:rPr>
              <w:t>100 µs</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sz w:val="21"/>
              </w:rPr>
              <w:t>取樣 + 狀態機排程</w:t>
            </w:r>
          </w:p>
        </w:tc>
      </w:tr>
      <w:tr>
        <w:tc>
          <w:tcPr>
            <w:tcW w:type="dxa" w:w="1661"/>
          </w:tcPr>
          <w:p>
            <w:pPr>
              <w:jc w:val="left"/>
            </w:pPr>
            <w:r/>
            <w:r>
              <w:rPr>
                <w:rFonts w:ascii="Times New Roman" w:hAnsi="Times New Roman" w:eastAsia="標楷體"/>
                <w:b w:val="0"/>
                <w:sz w:val="21"/>
              </w:rPr>
              <w:t>庫倫計數更新</w:t>
            </w:r>
          </w:p>
        </w:tc>
        <w:tc>
          <w:tcPr>
            <w:tcW w:type="dxa" w:w="1661"/>
          </w:tcPr>
          <w:p>
            <w:pPr>
              <w:jc w:val="left"/>
            </w:pPr>
            <w:r/>
            <w:r>
              <w:rPr>
                <w:rFonts w:ascii="Times New Roman" w:hAnsi="Times New Roman" w:eastAsia="標楷體"/>
                <w:b w:val="0"/>
                <w:sz w:val="21"/>
              </w:rPr>
              <w:t>1 s</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sz w:val="21"/>
              </w:rPr>
              <w:t>一乘一加，資源下界</w:t>
            </w:r>
          </w:p>
        </w:tc>
      </w:tr>
      <w:tr>
        <w:tc>
          <w:tcPr>
            <w:tcW w:type="dxa" w:w="1661"/>
          </w:tcPr>
          <w:p>
            <w:pPr>
              <w:jc w:val="left"/>
            </w:pPr>
            <w:r/>
            <w:r>
              <w:rPr>
                <w:rFonts w:ascii="Times New Roman" w:hAnsi="Times New Roman" w:eastAsia="標楷體"/>
                <w:b w:val="0"/>
                <w:sz w:val="21"/>
              </w:rPr>
              <w:t>EKF 更新</w:t>
            </w:r>
          </w:p>
        </w:tc>
        <w:tc>
          <w:tcPr>
            <w:tcW w:type="dxa" w:w="1661"/>
          </w:tcPr>
          <w:p>
            <w:pPr>
              <w:jc w:val="left"/>
            </w:pPr>
            <w:r/>
            <w:r>
              <w:rPr>
                <w:rFonts w:ascii="Times New Roman" w:hAnsi="Times New Roman" w:eastAsia="標楷體"/>
                <w:b w:val="0"/>
                <w:sz w:val="21"/>
              </w:rPr>
              <w:t>1 s</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sz w:val="21"/>
              </w:rPr>
              <w:t>軟浮點，最耗時</w:t>
            </w:r>
          </w:p>
        </w:tc>
      </w:tr>
      <w:tr>
        <w:tc>
          <w:tcPr>
            <w:tcW w:type="dxa" w:w="1661"/>
          </w:tcPr>
          <w:p>
            <w:pPr>
              <w:jc w:val="left"/>
            </w:pPr>
            <w:r/>
            <w:r>
              <w:rPr>
                <w:rFonts w:ascii="Times New Roman" w:hAnsi="Times New Roman" w:eastAsia="標楷體"/>
                <w:b w:val="0"/>
                <w:sz w:val="21"/>
              </w:rPr>
              <w:t>動態阻抗更新</w:t>
            </w:r>
          </w:p>
        </w:tc>
        <w:tc>
          <w:tcPr>
            <w:tcW w:type="dxa" w:w="1661"/>
          </w:tcPr>
          <w:p>
            <w:pPr>
              <w:jc w:val="left"/>
            </w:pPr>
            <w:r/>
            <w:r>
              <w:rPr>
                <w:rFonts w:ascii="Times New Roman" w:hAnsi="Times New Roman" w:eastAsia="標楷體"/>
                <w:b w:val="0"/>
                <w:sz w:val="21"/>
              </w:rPr>
              <w:t>擾動事件（~60 s）</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sz w:val="21"/>
              </w:rPr>
              <w:t>僅事件時觸發</w:t>
            </w:r>
          </w:p>
        </w:tc>
      </w:tr>
      <w:tr>
        <w:tc>
          <w:tcPr>
            <w:tcW w:type="dxa" w:w="1661"/>
          </w:tcPr>
          <w:p>
            <w:pPr>
              <w:jc w:val="left"/>
            </w:pPr>
            <w:r/>
            <w:r>
              <w:rPr>
                <w:rFonts w:ascii="Times New Roman" w:hAnsi="Times New Roman" w:eastAsia="標楷體"/>
                <w:b/>
                <w:sz w:val="21"/>
              </w:rPr>
              <w:t>三法並行峰值</w:t>
            </w:r>
          </w:p>
        </w:tc>
        <w:tc>
          <w:tcPr>
            <w:tcW w:type="dxa" w:w="1661"/>
          </w:tcPr>
          <w:p>
            <w:pPr>
              <w:jc w:val="left"/>
            </w:pPr>
            <w:r/>
            <w:r>
              <w:rPr>
                <w:rFonts w:ascii="Times New Roman" w:hAnsi="Times New Roman" w:eastAsia="標楷體"/>
                <w:b w:val="0"/>
                <w:sz w:val="21"/>
              </w:rPr>
              <w:t>1 s 邊界</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color w:val="C00000"/>
                <w:sz w:val="21"/>
              </w:rPr>
              <w:t>[待測]</w:t>
            </w:r>
          </w:p>
        </w:tc>
        <w:tc>
          <w:tcPr>
            <w:tcW w:type="dxa" w:w="1661"/>
          </w:tcPr>
          <w:p>
            <w:pPr>
              <w:jc w:val="left"/>
            </w:pPr>
            <w:r/>
            <w:r>
              <w:rPr>
                <w:rFonts w:ascii="Times New Roman" w:hAnsi="Times New Roman" w:eastAsia="標楷體"/>
                <w:b w:val="0"/>
                <w:sz w:val="21"/>
              </w:rPr>
              <w:t>三法同秒更新之最壞情形</w:t>
            </w:r>
          </w:p>
        </w:tc>
      </w:tr>
    </w:tbl>
    <w:p>
      <w:pPr>
        <w:jc w:val="center"/>
      </w:pPr>
      <w:r>
        <w:rPr>
          <w:rFonts w:ascii="Times New Roman" w:hAnsi="Times New Roman" w:eastAsia="標楷體"/>
          <w:b/>
          <w:sz w:val="22"/>
        </w:rPr>
        <w:t>表 5-1　100 µs 系統節拍內之 CPU 負載分配（待第四章 footprint 量測完成後填入）</w:t>
      </w:r>
    </w:p>
    <w:p>
      <w:pPr>
        <w:spacing w:line="480" w:lineRule="exact"/>
        <w:ind w:firstLine="480"/>
        <w:jc w:val="both"/>
      </w:pPr>
      <w:r>
        <w:rPr>
          <w:rFonts w:ascii="Times New Roman" w:hAnsi="Times New Roman" w:eastAsia="標楷體"/>
          <w:b w:val="0"/>
          <w:sz w:val="24"/>
        </w:rPr>
        <w:t>預期結論為：三法（含並行）之估測更新即使集中於同一秒邊界，其總 CPU 佔用仍遠在 100 µs 預算之內，即時性無虞；EKF 之軟浮點負擔雖最重，但因每秒僅觸發一次，對整體 CPU 餘裕影響有限。此即「以較高單次運算量換取精度與強健性」在即時性層面仍可被本級微控制器吸收之佐證。</w:t>
      </w:r>
      <w:r>
        <w:rPr>
          <w:rFonts w:ascii="Times New Roman" w:hAnsi="Times New Roman" w:eastAsia="標楷體"/>
          <w:b w:val="0"/>
          <w:color w:val="C00000"/>
          <w:sz w:val="24"/>
        </w:rPr>
        <w:t>[待測]</w:t>
      </w:r>
      <w:r>
        <w:rPr>
          <w:rFonts w:ascii="Times New Roman" w:hAnsi="Times New Roman" w:eastAsia="標楷體"/>
          <w:b w:val="0"/>
          <w:sz w:val="24"/>
        </w:rPr>
        <w:t xml:space="preserve"> 上述佔用率數值待回填。</w:t>
      </w:r>
    </w:p>
    <w:p>
      <w:pPr>
        <w:spacing w:line="360" w:lineRule="exact"/>
        <w:jc w:val="left"/>
      </w:pPr>
      <w:r>
        <w:rPr>
          <w:rFonts w:ascii="Times New Roman" w:hAnsi="Times New Roman" w:eastAsia="標楷體"/>
          <w:b/>
          <w:sz w:val="28"/>
        </w:rPr>
        <w:t>5.3 fresh-cell baseline 三輪變異性與長期再現性分析（實測）</w:t>
      </w:r>
    </w:p>
    <w:p>
      <w:pPr>
        <w:spacing w:line="480" w:lineRule="exact"/>
        <w:ind w:firstLine="480"/>
        <w:jc w:val="both"/>
      </w:pPr>
      <w:r>
        <w:rPr>
          <w:rFonts w:ascii="Times New Roman" w:hAnsi="Times New Roman" w:eastAsia="標楷體"/>
          <w:b w:val="0"/>
          <w:sz w:val="24"/>
        </w:rPr>
        <w:t>本節以跨輪測試協定（第三章 3.6 節）累積之週期紀錄，回答兩個對全研究結論至關重要的問題：</w:t>
      </w:r>
      <w:r>
        <w:rPr>
          <w:rFonts w:ascii="Times New Roman" w:hAnsi="Times New Roman" w:eastAsia="標楷體"/>
          <w:b/>
          <w:sz w:val="24"/>
        </w:rPr>
        <w:t>(a) 測試平台的輪間再現性有多好？</w:t>
      </w:r>
      <w:r>
        <w:rPr>
          <w:rFonts w:ascii="Times New Roman" w:hAnsi="Times New Roman" w:eastAsia="標楷體"/>
          <w:b w:val="0"/>
          <w:sz w:val="24"/>
        </w:rPr>
        <w:t xml:space="preserve"> 此決定第四章所有「以庫倫容量為真值」之比較是否站得住腳。</w:t>
      </w:r>
      <w:r>
        <w:rPr>
          <w:rFonts w:ascii="Times New Roman" w:hAnsi="Times New Roman" w:eastAsia="標楷體"/>
          <w:b/>
          <w:sz w:val="24"/>
        </w:rPr>
        <w:t>(b) 觀測到的容量變化中，有多少是真實老化、有多少是量測噪聲？</w:t>
      </w:r>
      <w:r>
        <w:rPr>
          <w:rFonts w:ascii="Times New Roman" w:hAnsi="Times New Roman" w:eastAsia="標楷體"/>
          <w:b w:val="0"/>
          <w:sz w:val="24"/>
        </w:rPr>
        <w:t xml:space="preserve"> 此決定第四章 4.1.4 所述漂移討論的定量基礎。資料涵蓋 rounds 1–38（cycles 1–183，連續 2026-05-12 至 06-19）。</w:t>
      </w:r>
    </w:p>
    <w:p>
      <w:pPr>
        <w:spacing w:line="360" w:lineRule="exact"/>
        <w:jc w:val="left"/>
      </w:pPr>
      <w:r>
        <w:rPr>
          <w:rFonts w:ascii="Times New Roman" w:hAnsi="Times New Roman" w:eastAsia="標楷體"/>
          <w:b/>
          <w:sz w:val="26"/>
        </w:rPr>
        <w:t>5.3.1 fresh-cell 三輪變異性（量測噪聲下界）</w:t>
      </w:r>
    </w:p>
    <w:p>
      <w:pPr>
        <w:spacing w:line="480" w:lineRule="exact"/>
        <w:ind w:firstLine="480"/>
        <w:jc w:val="both"/>
      </w:pPr>
      <w:r>
        <w:rPr>
          <w:rFonts w:ascii="Times New Roman" w:hAnsi="Times New Roman" w:eastAsia="標楷體"/>
          <w:b w:val="0"/>
          <w:sz w:val="24"/>
        </w:rPr>
        <w:t>以最初三輪 fresh-cell baseline（rounds 1–3，電池尚未明顯老化）各四種放電倍率之實測放電容量，計算輪間標準差與變異係數（CV），結果如表 5-2。此 CV 即代表本平台「在電池狀態幾乎不變下，純由量測、協定、環境造成的再現性誤差」，構成後續老化判讀的噪聲下界。</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87"/>
        <w:gridCol w:w="1187"/>
        <w:gridCol w:w="1187"/>
        <w:gridCol w:w="1187"/>
        <w:gridCol w:w="1187"/>
        <w:gridCol w:w="1187"/>
        <w:gridCol w:w="1187"/>
      </w:tblGrid>
      <w:tr>
        <w:tc>
          <w:tcPr>
            <w:tcW w:type="dxa" w:w="1187"/>
            <w:shd w:val="clear" w:color="auto" w:fill="D9E2F3"/>
          </w:tcPr>
          <w:p>
            <w:pPr>
              <w:jc w:val="center"/>
            </w:pPr>
            <w:r/>
            <w:r>
              <w:rPr>
                <w:rFonts w:ascii="Times New Roman" w:hAnsi="Times New Roman" w:eastAsia="標楷體"/>
                <w:b/>
                <w:sz w:val="21"/>
              </w:rPr>
              <w:t>倍率</w:t>
            </w:r>
          </w:p>
        </w:tc>
        <w:tc>
          <w:tcPr>
            <w:tcW w:type="dxa" w:w="1187"/>
            <w:shd w:val="clear" w:color="auto" w:fill="D9E2F3"/>
          </w:tcPr>
          <w:p>
            <w:pPr>
              <w:jc w:val="center"/>
            </w:pPr>
            <w:r/>
            <w:r>
              <w:rPr>
                <w:rFonts w:ascii="Times New Roman" w:hAnsi="Times New Roman" w:eastAsia="標楷體"/>
                <w:b/>
                <w:sz w:val="21"/>
              </w:rPr>
              <w:t>Round 1 (mAh)</w:t>
            </w:r>
          </w:p>
        </w:tc>
        <w:tc>
          <w:tcPr>
            <w:tcW w:type="dxa" w:w="1187"/>
            <w:shd w:val="clear" w:color="auto" w:fill="D9E2F3"/>
          </w:tcPr>
          <w:p>
            <w:pPr>
              <w:jc w:val="center"/>
            </w:pPr>
            <w:r/>
            <w:r>
              <w:rPr>
                <w:rFonts w:ascii="Times New Roman" w:hAnsi="Times New Roman" w:eastAsia="標楷體"/>
                <w:b/>
                <w:sz w:val="21"/>
              </w:rPr>
              <w:t>Round 2 (mAh)</w:t>
            </w:r>
          </w:p>
        </w:tc>
        <w:tc>
          <w:tcPr>
            <w:tcW w:type="dxa" w:w="1187"/>
            <w:shd w:val="clear" w:color="auto" w:fill="D9E2F3"/>
          </w:tcPr>
          <w:p>
            <w:pPr>
              <w:jc w:val="center"/>
            </w:pPr>
            <w:r/>
            <w:r>
              <w:rPr>
                <w:rFonts w:ascii="Times New Roman" w:hAnsi="Times New Roman" w:eastAsia="標楷體"/>
                <w:b/>
                <w:sz w:val="21"/>
              </w:rPr>
              <w:t>Round 3 (mAh)</w:t>
            </w:r>
          </w:p>
        </w:tc>
        <w:tc>
          <w:tcPr>
            <w:tcW w:type="dxa" w:w="1187"/>
            <w:shd w:val="clear" w:color="auto" w:fill="D9E2F3"/>
          </w:tcPr>
          <w:p>
            <w:pPr>
              <w:jc w:val="center"/>
            </w:pPr>
            <w:r/>
            <w:r>
              <w:rPr>
                <w:rFonts w:ascii="Times New Roman" w:hAnsi="Times New Roman" w:eastAsia="標楷體"/>
                <w:b/>
                <w:sz w:val="21"/>
              </w:rPr>
              <w:t>平均 (mAh)</w:t>
            </w:r>
          </w:p>
        </w:tc>
        <w:tc>
          <w:tcPr>
            <w:tcW w:type="dxa" w:w="1187"/>
            <w:shd w:val="clear" w:color="auto" w:fill="D9E2F3"/>
          </w:tcPr>
          <w:p>
            <w:pPr>
              <w:jc w:val="center"/>
            </w:pPr>
            <w:r/>
            <w:r>
              <w:rPr>
                <w:rFonts w:ascii="Times New Roman" w:hAnsi="Times New Roman" w:eastAsia="標楷體"/>
                <w:b/>
                <w:sz w:val="21"/>
              </w:rPr>
              <w:t>標準差 (mAh)</w:t>
            </w:r>
          </w:p>
        </w:tc>
        <w:tc>
          <w:tcPr>
            <w:tcW w:type="dxa" w:w="1187"/>
            <w:shd w:val="clear" w:color="auto" w:fill="D9E2F3"/>
          </w:tcPr>
          <w:p>
            <w:pPr>
              <w:jc w:val="center"/>
            </w:pPr>
            <w:r/>
            <w:r>
              <w:rPr>
                <w:rFonts w:ascii="Times New Roman" w:hAnsi="Times New Roman" w:eastAsia="標楷體"/>
                <w:b/>
                <w:sz w:val="21"/>
              </w:rPr>
              <w:t>變異係數 CV</w:t>
            </w:r>
          </w:p>
        </w:tc>
      </w:tr>
      <w:tr>
        <w:tc>
          <w:tcPr>
            <w:tcW w:type="dxa" w:w="1187"/>
          </w:tcPr>
          <w:p>
            <w:pPr>
              <w:jc w:val="left"/>
            </w:pPr>
            <w:r/>
            <w:r>
              <w:rPr>
                <w:rFonts w:ascii="Times New Roman" w:hAnsi="Times New Roman" w:eastAsia="標楷體"/>
                <w:b w:val="0"/>
                <w:sz w:val="21"/>
              </w:rPr>
              <w:t>0.5C</w:t>
            </w:r>
          </w:p>
        </w:tc>
        <w:tc>
          <w:tcPr>
            <w:tcW w:type="dxa" w:w="1187"/>
          </w:tcPr>
          <w:p>
            <w:pPr>
              <w:jc w:val="left"/>
            </w:pPr>
            <w:r/>
            <w:r>
              <w:rPr>
                <w:rFonts w:ascii="Times New Roman" w:hAnsi="Times New Roman" w:eastAsia="標楷體"/>
                <w:b w:val="0"/>
                <w:sz w:val="21"/>
              </w:rPr>
              <w:t>1677.6</w:t>
            </w:r>
          </w:p>
        </w:tc>
        <w:tc>
          <w:tcPr>
            <w:tcW w:type="dxa" w:w="1187"/>
          </w:tcPr>
          <w:p>
            <w:pPr>
              <w:jc w:val="left"/>
            </w:pPr>
            <w:r/>
            <w:r>
              <w:rPr>
                <w:rFonts w:ascii="Times New Roman" w:hAnsi="Times New Roman" w:eastAsia="標楷體"/>
                <w:b w:val="0"/>
                <w:sz w:val="21"/>
              </w:rPr>
              <w:t>1661.9</w:t>
            </w:r>
          </w:p>
        </w:tc>
        <w:tc>
          <w:tcPr>
            <w:tcW w:type="dxa" w:w="1187"/>
          </w:tcPr>
          <w:p>
            <w:pPr>
              <w:jc w:val="left"/>
            </w:pPr>
            <w:r/>
            <w:r>
              <w:rPr>
                <w:rFonts w:ascii="Times New Roman" w:hAnsi="Times New Roman" w:eastAsia="標楷體"/>
                <w:b w:val="0"/>
                <w:sz w:val="21"/>
              </w:rPr>
              <w:t>1657.5</w:t>
            </w:r>
          </w:p>
        </w:tc>
        <w:tc>
          <w:tcPr>
            <w:tcW w:type="dxa" w:w="1187"/>
          </w:tcPr>
          <w:p>
            <w:pPr>
              <w:jc w:val="left"/>
            </w:pPr>
            <w:r/>
            <w:r>
              <w:rPr>
                <w:rFonts w:ascii="Times New Roman" w:hAnsi="Times New Roman" w:eastAsia="標楷體"/>
                <w:b w:val="0"/>
                <w:sz w:val="21"/>
              </w:rPr>
              <w:t>1665.7</w:t>
            </w:r>
          </w:p>
        </w:tc>
        <w:tc>
          <w:tcPr>
            <w:tcW w:type="dxa" w:w="1187"/>
          </w:tcPr>
          <w:p>
            <w:pPr>
              <w:jc w:val="left"/>
            </w:pPr>
            <w:r/>
            <w:r>
              <w:rPr>
                <w:rFonts w:ascii="Times New Roman" w:hAnsi="Times New Roman" w:eastAsia="標楷體"/>
                <w:b w:val="0"/>
                <w:sz w:val="21"/>
              </w:rPr>
              <w:t>8.64</w:t>
            </w:r>
          </w:p>
        </w:tc>
        <w:tc>
          <w:tcPr>
            <w:tcW w:type="dxa" w:w="1187"/>
          </w:tcPr>
          <w:p>
            <w:pPr>
              <w:jc w:val="left"/>
            </w:pPr>
            <w:r/>
            <w:r>
              <w:rPr>
                <w:rFonts w:ascii="Times New Roman" w:hAnsi="Times New Roman" w:eastAsia="標楷體"/>
                <w:b w:val="0"/>
                <w:sz w:val="21"/>
              </w:rPr>
              <w:t>0.519%</w:t>
            </w:r>
          </w:p>
        </w:tc>
      </w:tr>
      <w:tr>
        <w:tc>
          <w:tcPr>
            <w:tcW w:type="dxa" w:w="1187"/>
          </w:tcPr>
          <w:p>
            <w:pPr>
              <w:jc w:val="left"/>
            </w:pPr>
            <w:r/>
            <w:r>
              <w:rPr>
                <w:rFonts w:ascii="Times New Roman" w:hAnsi="Times New Roman" w:eastAsia="標楷體"/>
                <w:b w:val="0"/>
                <w:sz w:val="21"/>
              </w:rPr>
              <w:t>1.0C</w:t>
            </w:r>
          </w:p>
        </w:tc>
        <w:tc>
          <w:tcPr>
            <w:tcW w:type="dxa" w:w="1187"/>
          </w:tcPr>
          <w:p>
            <w:pPr>
              <w:jc w:val="left"/>
            </w:pPr>
            <w:r/>
            <w:r>
              <w:rPr>
                <w:rFonts w:ascii="Times New Roman" w:hAnsi="Times New Roman" w:eastAsia="標楷體"/>
                <w:b w:val="0"/>
                <w:sz w:val="21"/>
              </w:rPr>
              <w:t>1651.8</w:t>
            </w:r>
          </w:p>
        </w:tc>
        <w:tc>
          <w:tcPr>
            <w:tcW w:type="dxa" w:w="1187"/>
          </w:tcPr>
          <w:p>
            <w:pPr>
              <w:jc w:val="left"/>
            </w:pPr>
            <w:r/>
            <w:r>
              <w:rPr>
                <w:rFonts w:ascii="Times New Roman" w:hAnsi="Times New Roman" w:eastAsia="標楷體"/>
                <w:b w:val="0"/>
                <w:sz w:val="21"/>
              </w:rPr>
              <w:t>1660.0</w:t>
            </w:r>
          </w:p>
        </w:tc>
        <w:tc>
          <w:tcPr>
            <w:tcW w:type="dxa" w:w="1187"/>
          </w:tcPr>
          <w:p>
            <w:pPr>
              <w:jc w:val="left"/>
            </w:pPr>
            <w:r/>
            <w:r>
              <w:rPr>
                <w:rFonts w:ascii="Times New Roman" w:hAnsi="Times New Roman" w:eastAsia="標楷體"/>
                <w:b w:val="0"/>
                <w:sz w:val="21"/>
              </w:rPr>
              <w:t>1658.7</w:t>
            </w:r>
          </w:p>
        </w:tc>
        <w:tc>
          <w:tcPr>
            <w:tcW w:type="dxa" w:w="1187"/>
          </w:tcPr>
          <w:p>
            <w:pPr>
              <w:jc w:val="left"/>
            </w:pPr>
            <w:r/>
            <w:r>
              <w:rPr>
                <w:rFonts w:ascii="Times New Roman" w:hAnsi="Times New Roman" w:eastAsia="標楷體"/>
                <w:b w:val="0"/>
                <w:sz w:val="21"/>
              </w:rPr>
              <w:t>1656.8</w:t>
            </w:r>
          </w:p>
        </w:tc>
        <w:tc>
          <w:tcPr>
            <w:tcW w:type="dxa" w:w="1187"/>
          </w:tcPr>
          <w:p>
            <w:pPr>
              <w:jc w:val="left"/>
            </w:pPr>
            <w:r/>
            <w:r>
              <w:rPr>
                <w:rFonts w:ascii="Times New Roman" w:hAnsi="Times New Roman" w:eastAsia="標楷體"/>
                <w:b w:val="0"/>
                <w:sz w:val="21"/>
              </w:rPr>
              <w:t>3.60</w:t>
            </w:r>
          </w:p>
        </w:tc>
        <w:tc>
          <w:tcPr>
            <w:tcW w:type="dxa" w:w="1187"/>
          </w:tcPr>
          <w:p>
            <w:pPr>
              <w:jc w:val="left"/>
            </w:pPr>
            <w:r/>
            <w:r>
              <w:rPr>
                <w:rFonts w:ascii="Times New Roman" w:hAnsi="Times New Roman" w:eastAsia="標楷體"/>
                <w:b w:val="0"/>
                <w:sz w:val="21"/>
              </w:rPr>
              <w:t>0.217%</w:t>
            </w:r>
          </w:p>
        </w:tc>
      </w:tr>
      <w:tr>
        <w:tc>
          <w:tcPr>
            <w:tcW w:type="dxa" w:w="1187"/>
          </w:tcPr>
          <w:p>
            <w:pPr>
              <w:jc w:val="left"/>
            </w:pPr>
            <w:r/>
            <w:r>
              <w:rPr>
                <w:rFonts w:ascii="Times New Roman" w:hAnsi="Times New Roman" w:eastAsia="標楷體"/>
                <w:b w:val="0"/>
                <w:sz w:val="21"/>
              </w:rPr>
              <w:t>1.5C</w:t>
            </w:r>
          </w:p>
        </w:tc>
        <w:tc>
          <w:tcPr>
            <w:tcW w:type="dxa" w:w="1187"/>
          </w:tcPr>
          <w:p>
            <w:pPr>
              <w:jc w:val="left"/>
            </w:pPr>
            <w:r/>
            <w:r>
              <w:rPr>
                <w:rFonts w:ascii="Times New Roman" w:hAnsi="Times New Roman" w:eastAsia="標楷體"/>
                <w:b w:val="0"/>
                <w:sz w:val="21"/>
              </w:rPr>
              <w:t>1646.7</w:t>
            </w:r>
          </w:p>
        </w:tc>
        <w:tc>
          <w:tcPr>
            <w:tcW w:type="dxa" w:w="1187"/>
          </w:tcPr>
          <w:p>
            <w:pPr>
              <w:jc w:val="left"/>
            </w:pPr>
            <w:r/>
            <w:r>
              <w:rPr>
                <w:rFonts w:ascii="Times New Roman" w:hAnsi="Times New Roman" w:eastAsia="標楷體"/>
                <w:b w:val="0"/>
                <w:sz w:val="21"/>
              </w:rPr>
              <w:t>1657.4</w:t>
            </w:r>
          </w:p>
        </w:tc>
        <w:tc>
          <w:tcPr>
            <w:tcW w:type="dxa" w:w="1187"/>
          </w:tcPr>
          <w:p>
            <w:pPr>
              <w:jc w:val="left"/>
            </w:pPr>
            <w:r/>
            <w:r>
              <w:rPr>
                <w:rFonts w:ascii="Times New Roman" w:hAnsi="Times New Roman" w:eastAsia="標楷體"/>
                <w:b w:val="0"/>
                <w:sz w:val="21"/>
              </w:rPr>
              <w:t>1655.7</w:t>
            </w:r>
          </w:p>
        </w:tc>
        <w:tc>
          <w:tcPr>
            <w:tcW w:type="dxa" w:w="1187"/>
          </w:tcPr>
          <w:p>
            <w:pPr>
              <w:jc w:val="left"/>
            </w:pPr>
            <w:r/>
            <w:r>
              <w:rPr>
                <w:rFonts w:ascii="Times New Roman" w:hAnsi="Times New Roman" w:eastAsia="標楷體"/>
                <w:b w:val="0"/>
                <w:sz w:val="21"/>
              </w:rPr>
              <w:t>1653.3</w:t>
            </w:r>
          </w:p>
        </w:tc>
        <w:tc>
          <w:tcPr>
            <w:tcW w:type="dxa" w:w="1187"/>
          </w:tcPr>
          <w:p>
            <w:pPr>
              <w:jc w:val="left"/>
            </w:pPr>
            <w:r/>
            <w:r>
              <w:rPr>
                <w:rFonts w:ascii="Times New Roman" w:hAnsi="Times New Roman" w:eastAsia="標楷體"/>
                <w:b w:val="0"/>
                <w:sz w:val="21"/>
              </w:rPr>
              <w:t>4.68</w:t>
            </w:r>
          </w:p>
        </w:tc>
        <w:tc>
          <w:tcPr>
            <w:tcW w:type="dxa" w:w="1187"/>
          </w:tcPr>
          <w:p>
            <w:pPr>
              <w:jc w:val="left"/>
            </w:pPr>
            <w:r/>
            <w:r>
              <w:rPr>
                <w:rFonts w:ascii="Times New Roman" w:hAnsi="Times New Roman" w:eastAsia="標楷體"/>
                <w:b w:val="0"/>
                <w:sz w:val="21"/>
              </w:rPr>
              <w:t>0.283%</w:t>
            </w:r>
          </w:p>
        </w:tc>
      </w:tr>
      <w:tr>
        <w:tc>
          <w:tcPr>
            <w:tcW w:type="dxa" w:w="1187"/>
          </w:tcPr>
          <w:p>
            <w:pPr>
              <w:jc w:val="left"/>
            </w:pPr>
            <w:r/>
            <w:r>
              <w:rPr>
                <w:rFonts w:ascii="Times New Roman" w:hAnsi="Times New Roman" w:eastAsia="標楷體"/>
                <w:b w:val="0"/>
                <w:sz w:val="21"/>
              </w:rPr>
              <w:t>2.0C</w:t>
            </w:r>
          </w:p>
        </w:tc>
        <w:tc>
          <w:tcPr>
            <w:tcW w:type="dxa" w:w="1187"/>
          </w:tcPr>
          <w:p>
            <w:pPr>
              <w:jc w:val="left"/>
            </w:pPr>
            <w:r/>
            <w:r>
              <w:rPr>
                <w:rFonts w:ascii="Times New Roman" w:hAnsi="Times New Roman" w:eastAsia="標楷體"/>
                <w:b w:val="0"/>
                <w:sz w:val="21"/>
              </w:rPr>
              <w:t>1644.9</w:t>
            </w:r>
          </w:p>
        </w:tc>
        <w:tc>
          <w:tcPr>
            <w:tcW w:type="dxa" w:w="1187"/>
          </w:tcPr>
          <w:p>
            <w:pPr>
              <w:jc w:val="left"/>
            </w:pPr>
            <w:r/>
            <w:r>
              <w:rPr>
                <w:rFonts w:ascii="Times New Roman" w:hAnsi="Times New Roman" w:eastAsia="標楷體"/>
                <w:b w:val="0"/>
                <w:sz w:val="21"/>
              </w:rPr>
              <w:t>1652.1</w:t>
            </w:r>
          </w:p>
        </w:tc>
        <w:tc>
          <w:tcPr>
            <w:tcW w:type="dxa" w:w="1187"/>
          </w:tcPr>
          <w:p>
            <w:pPr>
              <w:jc w:val="left"/>
            </w:pPr>
            <w:r/>
            <w:r>
              <w:rPr>
                <w:rFonts w:ascii="Times New Roman" w:hAnsi="Times New Roman" w:eastAsia="標楷體"/>
                <w:b w:val="0"/>
                <w:sz w:val="21"/>
              </w:rPr>
              <w:t>1647.4</w:t>
            </w:r>
          </w:p>
        </w:tc>
        <w:tc>
          <w:tcPr>
            <w:tcW w:type="dxa" w:w="1187"/>
          </w:tcPr>
          <w:p>
            <w:pPr>
              <w:jc w:val="left"/>
            </w:pPr>
            <w:r/>
            <w:r>
              <w:rPr>
                <w:rFonts w:ascii="Times New Roman" w:hAnsi="Times New Roman" w:eastAsia="標楷體"/>
                <w:b w:val="0"/>
                <w:sz w:val="21"/>
              </w:rPr>
              <w:t>1648.1</w:t>
            </w:r>
          </w:p>
        </w:tc>
        <w:tc>
          <w:tcPr>
            <w:tcW w:type="dxa" w:w="1187"/>
          </w:tcPr>
          <w:p>
            <w:pPr>
              <w:jc w:val="left"/>
            </w:pPr>
            <w:r/>
            <w:r>
              <w:rPr>
                <w:rFonts w:ascii="Times New Roman" w:hAnsi="Times New Roman" w:eastAsia="標楷體"/>
                <w:b w:val="0"/>
                <w:sz w:val="21"/>
              </w:rPr>
              <w:t>2.96</w:t>
            </w:r>
          </w:p>
        </w:tc>
        <w:tc>
          <w:tcPr>
            <w:tcW w:type="dxa" w:w="1187"/>
          </w:tcPr>
          <w:p>
            <w:pPr>
              <w:jc w:val="left"/>
            </w:pPr>
            <w:r/>
            <w:r>
              <w:rPr>
                <w:rFonts w:ascii="Times New Roman" w:hAnsi="Times New Roman" w:eastAsia="標楷體"/>
                <w:b w:val="0"/>
                <w:sz w:val="21"/>
              </w:rPr>
              <w:t>0.179%</w:t>
            </w:r>
          </w:p>
        </w:tc>
      </w:tr>
    </w:tbl>
    <w:p>
      <w:pPr>
        <w:jc w:val="center"/>
      </w:pPr>
      <w:r>
        <w:rPr>
          <w:rFonts w:ascii="Times New Roman" w:hAnsi="Times New Roman" w:eastAsia="標楷體"/>
          <w:b/>
          <w:sz w:val="22"/>
        </w:rPr>
        <w:t>表 5-2　fresh-cell 三輪各倍率放電容量之輪間變異性（rounds 1–3 實測）</w:t>
      </w:r>
    </w:p>
    <w:p>
      <w:pPr>
        <w:spacing w:line="480" w:lineRule="exact"/>
        <w:ind w:firstLine="480"/>
        <w:jc w:val="both"/>
      </w:pPr>
      <w:r>
        <w:rPr>
          <w:rFonts w:ascii="Times New Roman" w:hAnsi="Times New Roman" w:eastAsia="標楷體"/>
          <w:b w:val="0"/>
          <w:sz w:val="24"/>
        </w:rPr>
        <w:t xml:space="preserve">三項觀察：(1) </w:t>
      </w:r>
      <w:r>
        <w:rPr>
          <w:rFonts w:ascii="Times New Roman" w:hAnsi="Times New Roman" w:eastAsia="標楷體"/>
          <w:b/>
          <w:sz w:val="24"/>
        </w:rPr>
        <w:t>輪間再現性極佳</w:t>
      </w:r>
      <w:r>
        <w:rPr>
          <w:rFonts w:ascii="Times New Roman" w:hAnsi="Times New Roman" w:eastAsia="標楷體"/>
          <w:b w:val="0"/>
          <w:sz w:val="24"/>
        </w:rPr>
        <w:t xml:space="preserve">——所有倍率的 CV 均 &lt; 0.52%，最佳者（2.0C）僅 0.18%。此驗證了第三章 INA226 校正（&lt; 1‰）、round</w:t>
      </w:r>
      <w:r>
        <w:rPr>
          <w:rFonts w:ascii="Times New Roman" w:hAnsi="Times New Roman" w:eastAsia="標楷體"/>
          <w:b w:val="0"/>
          <w:sz w:val="24"/>
          <w:vertAlign w:val="subscript"/>
        </w:rPr>
        <w:t xml:space="preserve">runner</w:t>
      </w:r>
      <w:r>
        <w:rPr>
          <w:rFonts w:ascii="Times New Roman" w:hAnsi="Times New Roman" w:eastAsia="標楷體"/>
          <w:b w:val="0"/>
          <w:sz w:val="24"/>
        </w:rPr>
        <w:t xml:space="preserve"> 自動化協定與 BenchInterlock 安全鎖共同保障了量測的高度可重複性。(2) </w:t>
      </w:r>
      <w:r>
        <w:rPr>
          <w:rFonts w:ascii="Times New Roman" w:hAnsi="Times New Roman" w:eastAsia="標楷體"/>
          <w:b/>
          <w:sz w:val="24"/>
        </w:rPr>
        <w:t>低倍率變異略大</w:t>
      </w:r>
      <w:r>
        <w:rPr>
          <w:rFonts w:ascii="Times New Roman" w:hAnsi="Times New Roman" w:eastAsia="標楷體"/>
          <w:b w:val="0"/>
          <w:sz w:val="24"/>
        </w:rPr>
        <w:t>（0.5C 之 CV 0.52% &gt; 2.0C 之 0.18%），與第四章 4.3.4 所述「低倍率擾動 SNR 較差」之趨勢一致，源於 0.5C 之 round 1 略偏高（1677.6 mAh，可能含微量化成餘量）。(3) 此 &lt; 0.52% 的噪聲下界，是判讀「容量變化是否為真實老化」的解析度門檻——任何小於此幅度的變化均不應被解讀為老化。</w:t>
      </w:r>
    </w:p>
    <w:p>
      <w:pPr>
        <w:spacing w:line="360" w:lineRule="exact"/>
        <w:jc w:val="left"/>
      </w:pPr>
      <w:r>
        <w:rPr>
          <w:rFonts w:ascii="Times New Roman" w:hAnsi="Times New Roman" w:eastAsia="標楷體"/>
          <w:b/>
          <w:sz w:val="26"/>
        </w:rPr>
        <w:t>5.3.2 長期容量趨勢（真實老化訊號）</w:t>
      </w:r>
    </w:p>
    <w:p>
      <w:pPr>
        <w:spacing w:line="480" w:lineRule="exact"/>
        <w:ind w:firstLine="480"/>
        <w:jc w:val="both"/>
      </w:pPr>
      <w:r>
        <w:rPr>
          <w:rFonts w:ascii="Times New Roman" w:hAnsi="Times New Roman" w:eastAsia="標楷體"/>
          <w:b w:val="0"/>
          <w:sz w:val="24"/>
        </w:rPr>
        <w:t>以 0.5C 放電容量保持率（相對標稱 1664 mAh）逐輪追蹤 38 輪之趨勢，摘要如表 5-3。</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1"/>
        <w:gridCol w:w="1661"/>
        <w:gridCol w:w="1661"/>
        <w:gridCol w:w="1661"/>
        <w:gridCol w:w="1661"/>
      </w:tblGrid>
      <w:tr>
        <w:tc>
          <w:tcPr>
            <w:tcW w:type="dxa" w:w="1661"/>
            <w:shd w:val="clear" w:color="auto" w:fill="D9E2F3"/>
          </w:tcPr>
          <w:p>
            <w:pPr>
              <w:jc w:val="center"/>
            </w:pPr>
            <w:r/>
            <w:r>
              <w:rPr>
                <w:rFonts w:ascii="Times New Roman" w:hAnsi="Times New Roman" w:eastAsia="標楷體"/>
                <w:b/>
                <w:sz w:val="21"/>
              </w:rPr>
              <w:t>階段</w:t>
            </w:r>
          </w:p>
        </w:tc>
        <w:tc>
          <w:tcPr>
            <w:tcW w:type="dxa" w:w="1661"/>
            <w:shd w:val="clear" w:color="auto" w:fill="D9E2F3"/>
          </w:tcPr>
          <w:p>
            <w:pPr>
              <w:jc w:val="center"/>
            </w:pPr>
            <w:r/>
            <w:r>
              <w:rPr>
                <w:rFonts w:ascii="Times New Roman" w:hAnsi="Times New Roman" w:eastAsia="標楷體"/>
                <w:b/>
                <w:sz w:val="21"/>
              </w:rPr>
              <w:t>Round</w:t>
            </w:r>
          </w:p>
        </w:tc>
        <w:tc>
          <w:tcPr>
            <w:tcW w:type="dxa" w:w="1661"/>
            <w:shd w:val="clear" w:color="auto" w:fill="D9E2F3"/>
          </w:tcPr>
          <w:p>
            <w:pPr>
              <w:jc w:val="center"/>
            </w:pPr>
            <w:r/>
            <w:r>
              <w:rPr>
                <w:rFonts w:ascii="Times New Roman" w:hAnsi="Times New Roman" w:eastAsia="標楷體"/>
                <w:b/>
                <w:sz w:val="21"/>
              </w:rPr>
              <w:t>日期</w:t>
            </w:r>
          </w:p>
        </w:tc>
        <w:tc>
          <w:tcPr>
            <w:tcW w:type="dxa" w:w="1661"/>
            <w:shd w:val="clear" w:color="auto" w:fill="D9E2F3"/>
          </w:tcPr>
          <w:p>
            <w:pPr>
              <w:jc w:val="center"/>
            </w:pPr>
            <w:r/>
            <w:r>
              <w:rPr>
                <w:rFonts w:ascii="Times New Roman" w:hAnsi="Times New Roman" w:eastAsia="標楷體"/>
                <w:b/>
                <w:sz w:val="21"/>
              </w:rPr>
              <w:t>0.5C 保持率</w:t>
            </w:r>
          </w:p>
        </w:tc>
        <w:tc>
          <w:tcPr>
            <w:tcW w:type="dxa" w:w="1661"/>
            <w:shd w:val="clear" w:color="auto" w:fill="D9E2F3"/>
          </w:tcPr>
          <w:p>
            <w:pPr>
              <w:jc w:val="center"/>
            </w:pPr>
            <w:r/>
            <w:r>
              <w:rPr>
                <w:rFonts w:ascii="Times New Roman" w:hAnsi="Times New Roman" w:eastAsia="標楷體"/>
                <w:b/>
                <w:sz w:val="21"/>
              </w:rPr>
              <w:t>0.5C 容量 (mAh)</w:t>
            </w:r>
          </w:p>
        </w:tc>
      </w:tr>
      <w:tr>
        <w:tc>
          <w:tcPr>
            <w:tcW w:type="dxa" w:w="1661"/>
          </w:tcPr>
          <w:p>
            <w:pPr>
              <w:jc w:val="left"/>
            </w:pPr>
            <w:r/>
            <w:r>
              <w:rPr>
                <w:rFonts w:ascii="Times New Roman" w:hAnsi="Times New Roman" w:eastAsia="標楷體"/>
                <w:b w:val="0"/>
                <w:sz w:val="21"/>
              </w:rPr>
              <w:t>初始</w:t>
            </w:r>
          </w:p>
        </w:tc>
        <w:tc>
          <w:tcPr>
            <w:tcW w:type="dxa" w:w="1661"/>
          </w:tcPr>
          <w:p>
            <w:pPr>
              <w:jc w:val="left"/>
            </w:pPr>
            <w:r/>
            <w:r>
              <w:rPr>
                <w:rFonts w:ascii="Times New Roman" w:hAnsi="Times New Roman" w:eastAsia="標楷體"/>
                <w:b w:val="0"/>
                <w:sz w:val="21"/>
              </w:rPr>
              <w:t>1</w:t>
            </w:r>
          </w:p>
        </w:tc>
        <w:tc>
          <w:tcPr>
            <w:tcW w:type="dxa" w:w="1661"/>
          </w:tcPr>
          <w:p>
            <w:pPr>
              <w:jc w:val="left"/>
            </w:pPr>
            <w:r/>
            <w:r>
              <w:rPr>
                <w:rFonts w:ascii="Times New Roman" w:hAnsi="Times New Roman" w:eastAsia="標楷體"/>
                <w:b w:val="0"/>
                <w:sz w:val="21"/>
              </w:rPr>
              <w:t>2026-05-12</w:t>
            </w:r>
          </w:p>
        </w:tc>
        <w:tc>
          <w:tcPr>
            <w:tcW w:type="dxa" w:w="1661"/>
          </w:tcPr>
          <w:p>
            <w:pPr>
              <w:jc w:val="left"/>
            </w:pPr>
            <w:r/>
            <w:r>
              <w:rPr>
                <w:rFonts w:ascii="Times New Roman" w:hAnsi="Times New Roman" w:eastAsia="標楷體"/>
                <w:b w:val="0"/>
                <w:sz w:val="21"/>
              </w:rPr>
              <w:t>100.76%</w:t>
            </w:r>
          </w:p>
        </w:tc>
        <w:tc>
          <w:tcPr>
            <w:tcW w:type="dxa" w:w="1661"/>
          </w:tcPr>
          <w:p>
            <w:pPr>
              <w:jc w:val="left"/>
            </w:pPr>
            <w:r/>
            <w:r>
              <w:rPr>
                <w:rFonts w:ascii="Times New Roman" w:hAnsi="Times New Roman" w:eastAsia="標楷體"/>
                <w:b w:val="0"/>
                <w:sz w:val="21"/>
              </w:rPr>
              <w:t>1677.6</w:t>
            </w:r>
          </w:p>
        </w:tc>
      </w:tr>
      <w:tr>
        <w:tc>
          <w:tcPr>
            <w:tcW w:type="dxa" w:w="1661"/>
          </w:tcPr>
          <w:p>
            <w:pPr>
              <w:jc w:val="left"/>
            </w:pPr>
            <w:r/>
            <w:r>
              <w:rPr>
                <w:rFonts w:ascii="Times New Roman" w:hAnsi="Times New Roman" w:eastAsia="標楷體"/>
                <w:b w:val="0"/>
                <w:sz w:val="21"/>
              </w:rPr>
              <w:t>早期穩定</w:t>
            </w:r>
          </w:p>
        </w:tc>
        <w:tc>
          <w:tcPr>
            <w:tcW w:type="dxa" w:w="1661"/>
          </w:tcPr>
          <w:p>
            <w:pPr>
              <w:jc w:val="left"/>
            </w:pPr>
            <w:r/>
            <w:r>
              <w:rPr>
                <w:rFonts w:ascii="Times New Roman" w:hAnsi="Times New Roman" w:eastAsia="標楷體"/>
                <w:b w:val="0"/>
                <w:sz w:val="21"/>
              </w:rPr>
              <w:t>11</w:t>
            </w:r>
          </w:p>
        </w:tc>
        <w:tc>
          <w:tcPr>
            <w:tcW w:type="dxa" w:w="1661"/>
          </w:tcPr>
          <w:p>
            <w:pPr>
              <w:jc w:val="left"/>
            </w:pPr>
            <w:r/>
            <w:r>
              <w:rPr>
                <w:rFonts w:ascii="Times New Roman" w:hAnsi="Times New Roman" w:eastAsia="標楷體"/>
                <w:b w:val="0"/>
                <w:sz w:val="21"/>
              </w:rPr>
              <w:t>2026-05-22</w:t>
            </w:r>
          </w:p>
        </w:tc>
        <w:tc>
          <w:tcPr>
            <w:tcW w:type="dxa" w:w="1661"/>
          </w:tcPr>
          <w:p>
            <w:pPr>
              <w:jc w:val="left"/>
            </w:pPr>
            <w:r/>
            <w:r>
              <w:rPr>
                <w:rFonts w:ascii="Times New Roman" w:hAnsi="Times New Roman" w:eastAsia="標楷體"/>
                <w:b w:val="0"/>
                <w:sz w:val="21"/>
              </w:rPr>
              <w:t>99.30%</w:t>
            </w:r>
          </w:p>
        </w:tc>
        <w:tc>
          <w:tcPr>
            <w:tcW w:type="dxa" w:w="1661"/>
          </w:tcPr>
          <w:p>
            <w:pPr>
              <w:jc w:val="left"/>
            </w:pPr>
            <w:r/>
            <w:r>
              <w:rPr>
                <w:rFonts w:ascii="Times New Roman" w:hAnsi="Times New Roman" w:eastAsia="標楷體"/>
                <w:b w:val="0"/>
                <w:sz w:val="21"/>
              </w:rPr>
              <w:t>1653.4</w:t>
            </w:r>
          </w:p>
        </w:tc>
      </w:tr>
      <w:tr>
        <w:tc>
          <w:tcPr>
            <w:tcW w:type="dxa" w:w="1661"/>
          </w:tcPr>
          <w:p>
            <w:pPr>
              <w:jc w:val="left"/>
            </w:pPr>
            <w:r/>
            <w:r>
              <w:rPr>
                <w:rFonts w:ascii="Times New Roman" w:hAnsi="Times New Roman" w:eastAsia="標楷體"/>
                <w:b w:val="0"/>
                <w:sz w:val="21"/>
              </w:rPr>
              <w:t>中期</w:t>
            </w:r>
          </w:p>
        </w:tc>
        <w:tc>
          <w:tcPr>
            <w:tcW w:type="dxa" w:w="1661"/>
          </w:tcPr>
          <w:p>
            <w:pPr>
              <w:jc w:val="left"/>
            </w:pPr>
            <w:r/>
            <w:r>
              <w:rPr>
                <w:rFonts w:ascii="Times New Roman" w:hAnsi="Times New Roman" w:eastAsia="標楷體"/>
                <w:b w:val="0"/>
                <w:sz w:val="21"/>
              </w:rPr>
              <w:t>23</w:t>
            </w:r>
          </w:p>
        </w:tc>
        <w:tc>
          <w:tcPr>
            <w:tcW w:type="dxa" w:w="1661"/>
          </w:tcPr>
          <w:p>
            <w:pPr>
              <w:jc w:val="left"/>
            </w:pPr>
            <w:r/>
            <w:r>
              <w:rPr>
                <w:rFonts w:ascii="Times New Roman" w:hAnsi="Times New Roman" w:eastAsia="標楷體"/>
                <w:b w:val="0"/>
                <w:sz w:val="21"/>
              </w:rPr>
              <w:t>2026-06-02</w:t>
            </w:r>
          </w:p>
        </w:tc>
        <w:tc>
          <w:tcPr>
            <w:tcW w:type="dxa" w:w="1661"/>
          </w:tcPr>
          <w:p>
            <w:pPr>
              <w:jc w:val="left"/>
            </w:pPr>
            <w:r/>
            <w:r>
              <w:rPr>
                <w:rFonts w:ascii="Times New Roman" w:hAnsi="Times New Roman" w:eastAsia="標楷體"/>
                <w:b w:val="0"/>
                <w:sz w:val="21"/>
              </w:rPr>
              <w:t>98.27%</w:t>
            </w:r>
          </w:p>
        </w:tc>
        <w:tc>
          <w:tcPr>
            <w:tcW w:type="dxa" w:w="1661"/>
          </w:tcPr>
          <w:p>
            <w:pPr>
              <w:jc w:val="left"/>
            </w:pPr>
            <w:r/>
            <w:r>
              <w:rPr>
                <w:rFonts w:ascii="Times New Roman" w:hAnsi="Times New Roman" w:eastAsia="標楷體"/>
                <w:b w:val="0"/>
                <w:sz w:val="21"/>
              </w:rPr>
              <w:t>1636.3</w:t>
            </w:r>
          </w:p>
        </w:tc>
      </w:tr>
      <w:tr>
        <w:tc>
          <w:tcPr>
            <w:tcW w:type="dxa" w:w="1661"/>
          </w:tcPr>
          <w:p>
            <w:pPr>
              <w:jc w:val="left"/>
            </w:pPr>
            <w:r/>
            <w:r>
              <w:rPr>
                <w:rFonts w:ascii="Times New Roman" w:hAnsi="Times New Roman" w:eastAsia="標楷體"/>
                <w:b w:val="0"/>
                <w:sz w:val="21"/>
              </w:rPr>
              <w:t>後期</w:t>
            </w:r>
          </w:p>
        </w:tc>
        <w:tc>
          <w:tcPr>
            <w:tcW w:type="dxa" w:w="1661"/>
          </w:tcPr>
          <w:p>
            <w:pPr>
              <w:jc w:val="left"/>
            </w:pPr>
            <w:r/>
            <w:r>
              <w:rPr>
                <w:rFonts w:ascii="Times New Roman" w:hAnsi="Times New Roman" w:eastAsia="標楷體"/>
                <w:b w:val="0"/>
                <w:sz w:val="21"/>
              </w:rPr>
              <w:t>34</w:t>
            </w:r>
          </w:p>
        </w:tc>
        <w:tc>
          <w:tcPr>
            <w:tcW w:type="dxa" w:w="1661"/>
          </w:tcPr>
          <w:p>
            <w:pPr>
              <w:jc w:val="left"/>
            </w:pPr>
            <w:r/>
            <w:r>
              <w:rPr>
                <w:rFonts w:ascii="Times New Roman" w:hAnsi="Times New Roman" w:eastAsia="標楷體"/>
                <w:b w:val="0"/>
                <w:sz w:val="21"/>
              </w:rPr>
              <w:t>2026-06-14</w:t>
            </w:r>
          </w:p>
        </w:tc>
        <w:tc>
          <w:tcPr>
            <w:tcW w:type="dxa" w:w="1661"/>
          </w:tcPr>
          <w:p>
            <w:pPr>
              <w:jc w:val="left"/>
            </w:pPr>
            <w:r/>
            <w:r>
              <w:rPr>
                <w:rFonts w:ascii="Times New Roman" w:hAnsi="Times New Roman" w:eastAsia="標楷體"/>
                <w:b w:val="0"/>
                <w:sz w:val="21"/>
              </w:rPr>
              <w:t>97.45%</w:t>
            </w:r>
          </w:p>
        </w:tc>
        <w:tc>
          <w:tcPr>
            <w:tcW w:type="dxa" w:w="1661"/>
          </w:tcPr>
          <w:p>
            <w:pPr>
              <w:jc w:val="left"/>
            </w:pPr>
            <w:r/>
            <w:r>
              <w:rPr>
                <w:rFonts w:ascii="Times New Roman" w:hAnsi="Times New Roman" w:eastAsia="標楷體"/>
                <w:b w:val="0"/>
                <w:sz w:val="21"/>
              </w:rPr>
              <w:t>1622.5</w:t>
            </w:r>
          </w:p>
        </w:tc>
      </w:tr>
      <w:tr>
        <w:tc>
          <w:tcPr>
            <w:tcW w:type="dxa" w:w="1661"/>
          </w:tcPr>
          <w:p>
            <w:pPr>
              <w:jc w:val="left"/>
            </w:pPr>
            <w:r/>
            <w:r>
              <w:rPr>
                <w:rFonts w:ascii="Times New Roman" w:hAnsi="Times New Roman" w:eastAsia="標楷體"/>
                <w:b w:val="0"/>
                <w:sz w:val="21"/>
              </w:rPr>
              <w:t>最新</w:t>
            </w:r>
          </w:p>
        </w:tc>
        <w:tc>
          <w:tcPr>
            <w:tcW w:type="dxa" w:w="1661"/>
          </w:tcPr>
          <w:p>
            <w:pPr>
              <w:jc w:val="left"/>
            </w:pPr>
            <w:r/>
            <w:r>
              <w:rPr>
                <w:rFonts w:ascii="Times New Roman" w:hAnsi="Times New Roman" w:eastAsia="標楷體"/>
                <w:b w:val="0"/>
                <w:sz w:val="21"/>
              </w:rPr>
              <w:t>38</w:t>
            </w:r>
          </w:p>
        </w:tc>
        <w:tc>
          <w:tcPr>
            <w:tcW w:type="dxa" w:w="1661"/>
          </w:tcPr>
          <w:p>
            <w:pPr>
              <w:jc w:val="left"/>
            </w:pPr>
            <w:r/>
            <w:r>
              <w:rPr>
                <w:rFonts w:ascii="Times New Roman" w:hAnsi="Times New Roman" w:eastAsia="標楷體"/>
                <w:b w:val="0"/>
                <w:sz w:val="21"/>
              </w:rPr>
              <w:t>2026-06-19</w:t>
            </w:r>
          </w:p>
        </w:tc>
        <w:tc>
          <w:tcPr>
            <w:tcW w:type="dxa" w:w="1661"/>
          </w:tcPr>
          <w:p>
            <w:pPr>
              <w:jc w:val="left"/>
            </w:pPr>
            <w:r/>
            <w:r>
              <w:rPr>
                <w:rFonts w:ascii="Times New Roman" w:hAnsi="Times New Roman" w:eastAsia="標楷體"/>
                <w:b w:val="0"/>
                <w:sz w:val="21"/>
              </w:rPr>
              <w:t>97.03%</w:t>
            </w:r>
          </w:p>
        </w:tc>
        <w:tc>
          <w:tcPr>
            <w:tcW w:type="dxa" w:w="1661"/>
          </w:tcPr>
          <w:p>
            <w:pPr>
              <w:jc w:val="left"/>
            </w:pPr>
            <w:r/>
            <w:r>
              <w:rPr>
                <w:rFonts w:ascii="Times New Roman" w:hAnsi="Times New Roman" w:eastAsia="標楷體"/>
                <w:b w:val="0"/>
                <w:sz w:val="21"/>
              </w:rPr>
              <w:t>1615.5</w:t>
            </w:r>
          </w:p>
        </w:tc>
      </w:tr>
    </w:tbl>
    <w:p>
      <w:pPr>
        <w:jc w:val="center"/>
      </w:pPr>
      <w:r>
        <w:rPr>
          <w:rFonts w:ascii="Times New Roman" w:hAnsi="Times New Roman" w:eastAsia="標楷體"/>
          <w:b/>
          <w:sz w:val="22"/>
        </w:rPr>
        <w:t>表 5-3　0.5C 放電容量保持率之長期趨勢（rounds 1–38 實測，摘錄關鍵輪次）</w:t>
      </w:r>
    </w:p>
    <w:p>
      <w:pPr>
        <w:spacing w:line="480" w:lineRule="exact"/>
        <w:ind w:firstLine="480"/>
        <w:jc w:val="both"/>
      </w:pPr>
      <w:r>
        <w:rPr>
          <w:rFonts w:ascii="Times New Roman" w:hAnsi="Times New Roman" w:eastAsia="標楷體"/>
          <w:b w:val="0"/>
          <w:sz w:val="24"/>
        </w:rPr>
        <w:t>自 round 1 至 round 38，0.5C 容量保持率自 100.76% 緩降至 97.03%，</w:t>
      </w:r>
      <w:r>
        <w:rPr>
          <w:rFonts w:ascii="Times New Roman" w:hAnsi="Times New Roman" w:eastAsia="標楷體"/>
          <w:b/>
          <w:sz w:val="24"/>
        </w:rPr>
        <w:t>累計衰退約 3.7%</w:t>
      </w:r>
      <w:r>
        <w:rPr>
          <w:rFonts w:ascii="Times New Roman" w:hAnsi="Times New Roman" w:eastAsia="標楷體"/>
          <w:b w:val="0"/>
          <w:sz w:val="24"/>
        </w:rPr>
        <w:t>，呈大致單調的緩降趨勢（中段偶有 ±0.5% 的輪間起伏，落在 5.3.1 之噪聲帶內）。</w:t>
      </w:r>
    </w:p>
    <w:p>
      <w:pPr>
        <w:spacing w:line="480" w:lineRule="exact"/>
        <w:ind w:firstLine="480"/>
        <w:jc w:val="both"/>
      </w:pPr>
      <w:r>
        <w:rPr>
          <w:rFonts w:ascii="Times New Roman" w:hAnsi="Times New Roman" w:eastAsia="標楷體"/>
          <w:b/>
          <w:sz w:val="24"/>
        </w:rPr>
        <w:t>老化與噪聲之分離</w:t>
      </w:r>
      <w:r>
        <w:rPr>
          <w:rFonts w:ascii="Times New Roman" w:hAnsi="Times New Roman" w:eastAsia="標楷體"/>
          <w:b w:val="0"/>
          <w:sz w:val="24"/>
        </w:rPr>
        <w:t>：將 5.3.1 之噪聲下界（CV &lt; 0.52%）與 5.3.2 之長期衰退（~3.7%）並置，可得一明確結論——</w:t>
      </w:r>
      <w:r>
        <w:rPr>
          <w:rFonts w:ascii="Times New Roman" w:hAnsi="Times New Roman" w:eastAsia="標楷體"/>
          <w:b/>
          <w:sz w:val="24"/>
        </w:rPr>
        <w:t>長期衰退幅度（3.7%）顯著大於量測噪聲（&lt; 0.52%），兩者相差約 7 倍</w:t>
      </w:r>
      <w:r>
        <w:rPr>
          <w:rFonts w:ascii="Times New Roman" w:hAnsi="Times New Roman" w:eastAsia="標楷體"/>
          <w:b w:val="0"/>
          <w:sz w:val="24"/>
        </w:rPr>
        <w:t>，故所觀測到的容量緩降為</w:t>
      </w:r>
      <w:r>
        <w:rPr>
          <w:rFonts w:ascii="Times New Roman" w:hAnsi="Times New Roman" w:eastAsia="標楷體"/>
          <w:b/>
          <w:sz w:val="24"/>
        </w:rPr>
        <w:t>真實老化訊號</w:t>
      </w:r>
      <w:r>
        <w:rPr>
          <w:rFonts w:ascii="Times New Roman" w:hAnsi="Times New Roman" w:eastAsia="標楷體"/>
          <w:b w:val="0"/>
          <w:sz w:val="24"/>
        </w:rPr>
        <w:t>，而非量測再現性誤差所致。此分離正當化了第四章 4.1.4 對「庫倫容量真值之漂移侷限」的處理方式：在</w:t>
      </w:r>
      <w:r>
        <w:rPr>
          <w:rFonts w:ascii="Times New Roman" w:hAnsi="Times New Roman" w:eastAsia="標楷體"/>
          <w:b/>
          <w:sz w:val="24"/>
        </w:rPr>
        <w:t>單一 cycle 內</w:t>
      </w:r>
      <w:r>
        <w:rPr>
          <w:rFonts w:ascii="Times New Roman" w:hAnsi="Times New Roman" w:eastAsia="標楷體"/>
          <w:b w:val="0"/>
          <w:sz w:val="24"/>
        </w:rPr>
        <w:t xml:space="preserve">以實測 q</w:t>
      </w:r>
      <w:r>
        <w:rPr>
          <w:rFonts w:ascii="Times New Roman" w:hAnsi="Times New Roman" w:eastAsia="標楷體"/>
          <w:b w:val="0"/>
          <w:sz w:val="24"/>
          <w:vertAlign w:val="subscript"/>
        </w:rPr>
        <w:t xml:space="preserve">full</w:t>
      </w:r>
      <w:r>
        <w:rPr>
          <w:rFonts w:ascii="Times New Roman" w:hAnsi="Times New Roman" w:eastAsia="標楷體"/>
          <w:b w:val="0"/>
          <w:sz w:val="24"/>
        </w:rPr>
        <w:t xml:space="preserve"> 正規化的庫倫 SOC 為可信真值（cycle 內無顯著老化），而跨 cycle 的容量變化則需如本節以三輪 baseline 之 CV 為基準逐輪扣除噪聲後解讀。</w:t>
      </w:r>
    </w:p>
    <w:p>
      <w:pPr>
        <w:spacing w:line="480" w:lineRule="exact"/>
        <w:ind w:firstLine="480"/>
        <w:jc w:val="both"/>
      </w:pPr>
      <w:r>
        <w:rPr>
          <w:rFonts w:ascii="Times New Roman" w:hAnsi="Times New Roman" w:eastAsia="標楷體"/>
          <w:b w:val="0"/>
          <w:sz w:val="24"/>
        </w:rPr>
        <w:t>此結果亦為第六章 future work 之 SOH 估測提供了實證基礎：本電池在受控深循環下已展現可量測、可分離的老化軌跡（38 輪約 3.7%），是 SOH 演算法（如容量衰退追蹤、內阻成長法）日後驗證的天然資料集。</w:t>
      </w:r>
    </w:p>
    <w:p>
      <w:pPr>
        <w:spacing w:line="360" w:lineRule="exact"/>
        <w:jc w:val="left"/>
      </w:pPr>
      <w:r>
        <w:rPr>
          <w:rFonts w:ascii="Times New Roman" w:hAnsi="Times New Roman" w:eastAsia="標楷體"/>
          <w:b/>
          <w:sz w:val="28"/>
        </w:rPr>
        <w:t>5.4 失敗案例與工程教訓</w:t>
      </w:r>
    </w:p>
    <w:p>
      <w:pPr>
        <w:spacing w:line="480" w:lineRule="exact"/>
        <w:ind w:firstLine="480"/>
        <w:jc w:val="both"/>
      </w:pPr>
      <w:r>
        <w:rPr>
          <w:rFonts w:ascii="Times New Roman" w:hAnsi="Times New Roman" w:eastAsia="標楷體"/>
          <w:b w:val="0"/>
          <w:sz w:val="24"/>
        </w:rPr>
        <w:t xml:space="preserve">本平台之穩定運行並非一蹴可幾，整合過程中累積之失敗案例對「嵌入式量測平台之可靠性設計」具有方法學價值，故如實彙整如下。這些教訓多源於</w:t>
      </w:r>
      <w:r>
        <w:rPr>
          <w:rFonts w:ascii="Times New Roman" w:hAnsi="Times New Roman" w:eastAsia="標楷體"/>
          <w:b w:val="true"/>
          <w:sz w:val="24"/>
        </w:rPr>
        <w:t xml:space="preserve">裸機即時系統的時序陷阱</w:t>
      </w:r>
      <w:r>
        <w:rPr>
          <w:rFonts w:ascii="Times New Roman" w:hAnsi="Times New Roman" w:eastAsia="標楷體"/>
          <w:b w:val="0"/>
          <w:sz w:val="24"/>
        </w:rPr>
        <w:t xml:space="preserve">，對任何欲自建電池測試平台者皆有參考意義。</w:t>
      </w:r>
    </w:p>
    <w:p>
      <w:pPr>
        <w:spacing w:line="360" w:lineRule="exact"/>
        <w:jc w:val="left"/>
      </w:pPr>
      <w:r>
        <w:rPr>
          <w:rFonts w:ascii="Times New Roman" w:hAnsi="Times New Roman" w:eastAsia="標楷體"/>
          <w:b w:val="0"/>
          <w:sz w:val="26"/>
        </w:rPr>
        <w:t xml:space="preserve">5.4.1 裸機即時系統的時序陷阱</w:t>
      </w:r>
    </w:p>
    <w:p>
      <w:pPr>
        <w:spacing w:line="480" w:lineRule="exact"/>
        <w:ind w:firstLine="480"/>
        <w:jc w:val="both"/>
      </w:pPr>
      <w:r>
        <w:rPr>
          <w:rFonts w:ascii="Times New Roman" w:hAnsi="Times New Roman" w:eastAsia="標楷體"/>
          <w:b/>
          <w:sz w:val="24"/>
        </w:rPr>
        <w:t>單點誤觸發（t=0 false termination）</w:t>
      </w:r>
      <w:r>
        <w:rPr>
          <w:rFonts w:ascii="Times New Roman" w:hAnsi="Times New Roman" w:eastAsia="標楷體"/>
          <w:b w:val="0"/>
          <w:sz w:val="24"/>
        </w:rPr>
        <w:t xml:space="preserve">：充電充飽判斷若僅看單一取樣點，當電池隔夜靜置後 OCV 已接近充電截止電壓（OCV ≈ 4.19 V，距 V</w:t>
      </w:r>
      <w:r>
        <w:rPr>
          <w:rFonts w:ascii="Times New Roman" w:hAnsi="Times New Roman" w:eastAsia="標楷體"/>
          <w:b w:val="0"/>
          <w:sz w:val="24"/>
          <w:vertAlign w:val="subscript"/>
        </w:rPr>
        <w:t xml:space="preserve">cv</w:t>
      </w:r>
      <w:r>
        <w:rPr>
          <w:rFonts w:ascii="Times New Roman" w:hAnsi="Times New Roman" w:eastAsia="標楷體"/>
          <w:b w:val="0"/>
          <w:sz w:val="24"/>
        </w:rPr>
        <w:t xml:space="preserve"> 僅 10 mV）、且電源尚未 ramp 使電流為 0 時，「電壓達標且電流夠小」之條件會在 t=0 瞬間成立，使整個充電步驟被誤判為已完成而跳過（ah</w:t>
      </w:r>
      <w:r>
        <w:rPr>
          <w:rFonts w:ascii="Times New Roman" w:hAnsi="Times New Roman" w:eastAsia="標楷體"/>
          <w:b w:val="0"/>
          <w:sz w:val="24"/>
          <w:vertAlign w:val="subscript"/>
        </w:rPr>
        <w:t xml:space="preserve">in</w:t>
      </w:r>
      <w:r>
        <w:rPr>
          <w:rFonts w:ascii="Times New Roman" w:hAnsi="Times New Roman" w:eastAsia="標楷體"/>
          <w:b w:val="0"/>
          <w:sz w:val="24"/>
        </w:rPr>
        <w:t xml:space="preserve"> = 0）。</w:t>
      </w:r>
      <w:r>
        <w:rPr>
          <w:rFonts w:ascii="Times New Roman" w:hAnsi="Times New Roman" w:eastAsia="標楷體"/>
          <w:b/>
          <w:sz w:val="24"/>
        </w:rPr>
        <w:t>教訓</w:t>
      </w:r>
      <w:r>
        <w:rPr>
          <w:rFonts w:ascii="Times New Roman" w:hAnsi="Times New Roman" w:eastAsia="標楷體"/>
          <w:b w:val="0"/>
          <w:sz w:val="24"/>
        </w:rPr>
        <w:t>：終止條件須加入</w:t>
      </w:r>
      <w:r>
        <w:rPr>
          <w:rFonts w:ascii="Times New Roman" w:hAnsi="Times New Roman" w:eastAsia="標楷體"/>
          <w:b/>
          <w:sz w:val="24"/>
        </w:rPr>
        <w:t>時間維度</w:t>
      </w:r>
      <w:r>
        <w:rPr>
          <w:rFonts w:ascii="Times New Roman" w:hAnsi="Times New Roman" w:eastAsia="標楷體"/>
          <w:b w:val="0"/>
          <w:sz w:val="24"/>
        </w:rPr>
        <w:t>——要求條件</w:t>
      </w:r>
      <w:r>
        <w:rPr>
          <w:rFonts w:ascii="Times New Roman" w:hAnsi="Times New Roman" w:eastAsia="標楷體"/>
          <w:b/>
          <w:sz w:val="24"/>
        </w:rPr>
        <w:t>連續滿足 3 秒</w:t>
      </w:r>
      <w:r>
        <w:rPr>
          <w:rFonts w:ascii="Times New Roman" w:hAnsi="Times New Roman" w:eastAsia="標楷體"/>
          <w:b w:val="0"/>
          <w:sz w:val="24"/>
        </w:rPr>
        <w:t xml:space="preserve">且總經過時間 ≥ 30 s 方成立，並另設「起步即已飽電」的合法 bypass 路徑（5 秒視窗內若確認已飽電則記 already</w:t>
      </w:r>
      <w:r>
        <w:rPr>
          <w:rFonts w:ascii="Times New Roman" w:hAnsi="Times New Roman" w:eastAsia="標楷體"/>
          <w:b w:val="0"/>
          <w:sz w:val="24"/>
          <w:vertAlign w:val="subscript"/>
        </w:rPr>
        <w:t xml:space="preserve">full</w:t>
      </w:r>
      <w:r>
        <w:rPr>
          <w:rFonts w:ascii="Times New Roman" w:hAnsi="Times New Roman" w:eastAsia="標楷體"/>
          <w:b w:val="0"/>
          <w:sz w:val="24"/>
        </w:rPr>
        <w:t xml:space="preserve"> 正常跳過），以區分「真的已充飽」與「尚未開始充」兩種 t=0 狀態。</w:t>
      </w:r>
    </w:p>
    <w:p>
      <w:pPr>
        <w:spacing w:line="480" w:lineRule="exact"/>
        <w:ind w:firstLine="480"/>
        <w:jc w:val="both"/>
      </w:pPr>
      <w:r>
        <w:rPr>
          <w:rFonts w:ascii="Times New Roman" w:hAnsi="Times New Roman" w:eastAsia="標楷體"/>
          <w:b/>
          <w:sz w:val="24"/>
        </w:rPr>
        <w:t>取樣率與判斷視窗的耦合</w:t>
      </w:r>
      <w:r>
        <w:rPr>
          <w:rFonts w:ascii="Times New Roman" w:hAnsi="Times New Roman" w:eastAsia="標楷體"/>
          <w:b w:val="0"/>
          <w:sz w:val="24"/>
        </w:rPr>
        <w:t>：上述 bypass 第一版以 3 秒視窗判斷，但在 1 Hz 取樣下 3 秒僅 3 筆樣本，電源輸出的短暫尖峰即可打斷判斷、使 bypass 被否決，又因充電狀態機卡在「未進入 CC」而陷入死迴圈。</w:t>
      </w:r>
      <w:r>
        <w:rPr>
          <w:rFonts w:ascii="Times New Roman" w:hAnsi="Times New Roman" w:eastAsia="標楷體"/>
          <w:b/>
          <w:sz w:val="24"/>
        </w:rPr>
        <w:t>教訓</w:t>
      </w:r>
      <w:r>
        <w:rPr>
          <w:rFonts w:ascii="Times New Roman" w:hAnsi="Times New Roman" w:eastAsia="標楷體"/>
          <w:b w:val="0"/>
          <w:sz w:val="24"/>
        </w:rPr>
        <w:t>：判斷視窗的長度必須與取樣率匹配（延長至 5 秒、解除對狀態旗標的依賴改用 settle time），任何「連續 N 秒」的判斷都應換算成「至少幾筆樣本」來檢視其統計可靠性。</w:t>
      </w:r>
    </w:p>
    <w:p>
      <w:pPr>
        <w:spacing w:line="480" w:lineRule="exact"/>
        <w:ind w:firstLine="480"/>
        <w:jc w:val="both"/>
      </w:pPr>
      <w:r>
        <w:rPr>
          <w:rFonts w:ascii="Times New Roman" w:hAnsi="Times New Roman" w:eastAsia="標楷體"/>
          <w:b/>
          <w:sz w:val="24"/>
        </w:rPr>
        <w:t>估測涵蓋範圍的一致性（庫倫不漏計擾動）</w:t>
      </w:r>
      <w:r>
        <w:rPr>
          <w:rFonts w:ascii="Times New Roman" w:hAnsi="Times New Roman" w:eastAsia="標楷體"/>
          <w:b w:val="0"/>
          <w:sz w:val="24"/>
        </w:rPr>
        <w:t>：為取得動態阻抗所需之 dV/dI 擾動，放電過程每 60 s 短暫步降至 0.2C dwell 1 s。若庫倫計數於擾動 dwell 期間暫停積分，將累積約 3% 的容量低估。</w:t>
      </w:r>
      <w:r>
        <w:rPr>
          <w:rFonts w:ascii="Times New Roman" w:hAnsi="Times New Roman" w:eastAsia="標楷體"/>
          <w:b/>
          <w:sz w:val="24"/>
        </w:rPr>
        <w:t>教訓</w:t>
      </w:r>
      <w:r>
        <w:rPr>
          <w:rFonts w:ascii="Times New Roman" w:hAnsi="Times New Roman" w:eastAsia="標楷體"/>
          <w:b w:val="0"/>
          <w:sz w:val="24"/>
        </w:rPr>
        <w:t>：當同一平台須同時服務「真值量測」與「特性激勵」兩個目的時，真值積分必須涵蓋包含擾動在內的每一秒，不可為求 V(SoC) 曲線純淨而選擇性漏計——此即第四章 4.1.2 所述「積分涵蓋擾動秒數」之由來。</w:t>
      </w:r>
    </w:p>
    <w:p>
      <w:pPr>
        <w:spacing w:line="360" w:lineRule="exact"/>
        <w:jc w:val="left"/>
      </w:pPr>
      <w:r>
        <w:rPr>
          <w:rFonts w:ascii="Times New Roman" w:hAnsi="Times New Roman" w:eastAsia="標楷體"/>
          <w:b w:val="0"/>
          <w:sz w:val="26"/>
        </w:rPr>
        <w:t xml:space="preserve">5.4.2 教訓的共通原則</w:t>
      </w:r>
    </w:p>
    <w:p>
      <w:pPr>
        <w:spacing w:line="480" w:lineRule="exact"/>
        <w:ind w:firstLine="480"/>
        <w:jc w:val="both"/>
      </w:pPr>
      <w:r>
        <w:rPr>
          <w:rFonts w:ascii="Times New Roman" w:hAnsi="Times New Roman" w:eastAsia="標楷體"/>
          <w:b w:val="0"/>
          <w:sz w:val="24"/>
        </w:rPr>
        <w:t xml:space="preserve">上述案例可歸納為兩條對嵌入式量測平台普適的設計原則：(1) </w:t>
      </w:r>
      <w:r>
        <w:rPr>
          <w:rFonts w:ascii="Times New Roman" w:hAnsi="Times New Roman" w:eastAsia="標楷體"/>
          <w:b w:val="true"/>
          <w:sz w:val="24"/>
        </w:rPr>
        <w:t xml:space="preserve">不信任單點、不信任單次</w:t>
      </w:r>
      <w:r>
        <w:rPr>
          <w:rFonts w:ascii="Times New Roman" w:hAnsi="Times New Roman" w:eastAsia="標楷體"/>
          <w:b w:val="0"/>
          <w:sz w:val="24"/>
        </w:rPr>
        <w:t xml:space="preserve">——所有狀態判斷應有時間維度與多樣本佐證；(2) </w:t>
      </w:r>
      <w:r>
        <w:rPr>
          <w:rFonts w:ascii="Times New Roman" w:hAnsi="Times New Roman" w:eastAsia="標楷體"/>
          <w:b w:val="true"/>
          <w:sz w:val="24"/>
        </w:rPr>
        <w:t xml:space="preserve">量測目的與激勵目的須在設計階段就釐清涵蓋範圍</w:t>
      </w:r>
      <w:r>
        <w:rPr>
          <w:rFonts w:ascii="Times New Roman" w:hAnsi="Times New Roman" w:eastAsia="標楷體"/>
          <w:b w:val="0"/>
          <w:sz w:val="24"/>
        </w:rPr>
        <w:t xml:space="preserve">——避免為其一犧牲其二而不自知。這些原則雖源於本平台之具體踩坑，但構成了第三章所述平台「高再現性」（5.3.1 之 CV &lt; 0.52%）背後的實作基礎。</w:t>
      </w:r>
    </w:p>
    <w:p>
      <w:pPr>
        <w:spacing w:line="360" w:lineRule="exact"/>
        <w:jc w:val="left"/>
      </w:pPr>
      <w:r>
        <w:rPr>
          <w:rFonts w:ascii="Times New Roman" w:hAnsi="Times New Roman" w:eastAsia="標楷體"/>
          <w:b/>
          <w:sz w:val="28"/>
        </w:rPr>
        <w:t>5.5 本章小結</w:t>
      </w:r>
    </w:p>
    <w:p>
      <w:pPr>
        <w:spacing w:line="480" w:lineRule="exact"/>
        <w:ind w:firstLine="480"/>
        <w:jc w:val="both"/>
      </w:pPr>
      <w:r>
        <w:rPr>
          <w:rFonts w:ascii="Times New Roman" w:hAnsi="Times New Roman" w:eastAsia="標楷體"/>
          <w:b w:val="0"/>
          <w:sz w:val="24"/>
        </w:rPr>
        <w:t xml:space="preserve">本章自系統層級檢驗了整個研究的整合與性能。</w:t>
      </w:r>
      <w:r>
        <w:rPr>
          <w:rFonts w:ascii="Times New Roman" w:hAnsi="Times New Roman" w:eastAsia="標楷體"/>
          <w:b w:val="true"/>
          <w:sz w:val="24"/>
        </w:rPr>
        <w:t xml:space="preserve">整合策略</w:t>
      </w:r>
      <w:r>
        <w:rPr>
          <w:rFonts w:ascii="Times New Roman" w:hAnsi="Times New Roman" w:eastAsia="標楷體"/>
          <w:b w:val="0"/>
          <w:sz w:val="24"/>
        </w:rPr>
        <w:t xml:space="preserve">上，提出「共用前端、分離估測、統一輸出」之三法並行架構，其邊際成本可加性使全方法並行之資源上界可由第四章各法 footprint 直接推估。</w:t>
      </w:r>
      <w:r>
        <w:rPr>
          <w:rFonts w:ascii="Times New Roman" w:hAnsi="Times New Roman" w:eastAsia="標楷體"/>
          <w:b w:val="true"/>
          <w:sz w:val="24"/>
        </w:rPr>
        <w:t xml:space="preserve">即時性</w:t>
      </w:r>
      <w:r>
        <w:rPr>
          <w:rFonts w:ascii="Times New Roman" w:hAnsi="Times New Roman" w:eastAsia="標楷體"/>
          <w:b w:val="0"/>
          <w:sz w:val="24"/>
        </w:rPr>
        <w:t xml:space="preserve">上，建立以 100 µs 系統節拍為預算單位的 CPU 負載分配框架，論證三法（含並行）之每秒一次估測更新可被本級微控制器於時限內吸收（數值待 footprint 量測回填）。</w:t>
      </w:r>
      <w:r>
        <w:rPr>
          <w:rFonts w:ascii="Times New Roman" w:hAnsi="Times New Roman" w:eastAsia="標楷體"/>
          <w:b w:val="true"/>
          <w:sz w:val="24"/>
        </w:rPr>
        <w:t xml:space="preserve">長期再現性</w:t>
      </w:r>
      <w:r>
        <w:rPr>
          <w:rFonts w:ascii="Times New Roman" w:hAnsi="Times New Roman" w:eastAsia="標楷體"/>
          <w:b w:val="0"/>
          <w:sz w:val="24"/>
        </w:rPr>
        <w:t xml:space="preserve">上，以 rounds 1–38 實測數據證明：本平台 fresh-cell 三輪變異係數 CV &lt; 0.52%，而 38 輪累計容量衰退約 3.7%，後者顯著大於前者約 7 倍，故老化訊號與量測噪聲可被乾淨分離——此既支撐了第四章「逐 cycle 重新錨定庫倫真值」之正當性，亦為第六章 SOH 延伸提供了實證基礎。</w:t>
      </w:r>
      <w:r>
        <w:rPr>
          <w:rFonts w:ascii="Times New Roman" w:hAnsi="Times New Roman" w:eastAsia="標楷體"/>
          <w:b w:val="true"/>
          <w:sz w:val="24"/>
        </w:rPr>
        <w:t xml:space="preserve">工程教訓</w:t>
      </w:r>
      <w:r>
        <w:rPr>
          <w:rFonts w:ascii="Times New Roman" w:hAnsi="Times New Roman" w:eastAsia="標楷體"/>
          <w:b w:val="0"/>
          <w:sz w:val="24"/>
        </w:rPr>
        <w:t xml:space="preserve">上，彙整裸機即時系統之時序陷阱失敗案例，歸納出「不信任單點、量測涵蓋須在設計階段釐清」等普適原則。第六章將在全研究結論之上，給出 SOC 方法選用之決策表、研究限制與未來工作。</w:t>
      </w:r>
    </w:p>
    <w:p>
      <w:pPr>
        <w:pStyle w:val="1"/>
      </w:pPr>
      <w:r>
        <w:rPr>
          <w:rFonts w:ascii="Times New Roman" w:hAnsi="Times New Roman" w:eastAsia="標楷體"/>
          <w:b/>
          <w:sz w:val="32"/>
          <w:color w:val="000000"/>
        </w:rPr>
        <w:t>第六章　結論與未來工作</w:t>
      </w:r>
    </w:p>
    <w:p>
      <w:pPr>
        <w:spacing w:line="360" w:lineRule="exact"/>
        <w:jc w:val="left"/>
      </w:pPr>
      <w:r>
        <w:rPr>
          <w:rFonts w:ascii="Times New Roman" w:hAnsi="Times New Roman" w:eastAsia="標楷體"/>
          <w:b/>
          <w:sz w:val="28"/>
        </w:rPr>
        <w:t>6.1 主要貢獻</w:t>
      </w:r>
    </w:p>
    <w:p>
      <w:pPr>
        <w:spacing w:line="480" w:lineRule="exact"/>
        <w:ind w:firstLine="480"/>
        <w:jc w:val="both"/>
      </w:pPr>
      <w:r>
        <w:rPr>
          <w:rFonts w:ascii="Times New Roman" w:hAnsi="Times New Roman" w:eastAsia="標楷體"/>
          <w:b w:val="0"/>
          <w:sz w:val="24"/>
        </w:rPr>
        <w:t>本研究以「嵌入式資源約束下的 SOC 演算法精度─成本權衡」為核心命題，回應第一章所指出的兩個研究缺口——既有文獻常於「失真的評估環境」（PC 端、理想量測）下評比演算法，且缺乏「公平的 benchmark」（同電池、同協定、同硬體）。據此，本研究之主要貢獻有三：</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自動化跨輪電池測試平台</w:t>
      </w:r>
      <w:r>
        <w:rPr>
          <w:rFonts w:ascii="Times New Roman" w:hAnsi="Times New Roman" w:eastAsia="標楷體"/>
          <w:b w:val="0"/>
          <w:sz w:val="24"/>
        </w:rPr>
        <w:t xml:space="preserve">：整合 STM32 微控制器、INA226 量測前端、IT6302 可程式電源、IT8512A+ 電子負載與 Python 上位機 orchestrator，建構一座可長期無人值守運行的跨輪測試平台。平台具備 INA226 多點線性內插校正（全範圍誤差 &lt; 1‰）、BenchInterlock 安全互鎖、round</w:t>
      </w:r>
      <w:r>
        <w:rPr>
          <w:rFonts w:ascii="Times New Roman" w:hAnsi="Times New Roman" w:eastAsia="標楷體"/>
          <w:b w:val="0"/>
          <w:sz w:val="24"/>
          <w:vertAlign w:val="subscript"/>
        </w:rPr>
        <w:t xml:space="preserve">runner</w:t>
      </w:r>
      <w:r>
        <w:rPr>
          <w:rFonts w:ascii="Times New Roman" w:hAnsi="Times New Roman" w:eastAsia="標楷體"/>
          <w:b w:val="0"/>
          <w:sz w:val="24"/>
        </w:rPr>
        <w:t xml:space="preserve"> 自動化充放電協定與 cycle</w:t>
      </w:r>
      <w:r>
        <w:rPr>
          <w:rFonts w:ascii="Times New Roman" w:hAnsi="Times New Roman" w:eastAsia="標楷體"/>
          <w:b w:val="0"/>
          <w:sz w:val="24"/>
          <w:vertAlign w:val="subscript"/>
        </w:rPr>
        <w:t xml:space="preserve">log</w:t>
      </w:r>
      <w:r>
        <w:rPr>
          <w:rFonts w:ascii="Times New Roman" w:hAnsi="Times New Roman" w:eastAsia="標楷體"/>
          <w:b w:val="0"/>
          <w:sz w:val="24"/>
        </w:rPr>
        <w:t xml:space="preserve"> 跨輪持久化。其再現性經實測驗證（第五章：fresh-cell 三輪 CV &lt; 0.52%），為後續一切公平比較奠定可信的量測基礎。</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三種 SOC 估測方法之嵌入式實作框架</w:t>
      </w:r>
      <w:r>
        <w:rPr>
          <w:rFonts w:ascii="Times New Roman" w:hAnsi="Times New Roman" w:eastAsia="標楷體"/>
          <w:b w:val="0"/>
          <w:sz w:val="24"/>
        </w:rPr>
        <w:t>：於同一韌體骨架上，將庫倫計數、擴展卡爾曼濾波器（EKF，一階 RC、狀態二維、增益免矩陣求逆）與動態阻抗法三種方法實作為可替換的估測模組，並提出「共用前端、分離估測、統一輸出」之並行整合架構（第五章 5.1）。其中動態阻抗法巧妙複用 rate-capability 測試既有之 dV/dI 擾動段，無須額外實驗即可建表。</w:t>
      </w:r>
    </w:p>
    <w:p>
      <w:pPr>
        <w:spacing w:line="480" w:lineRule="exact"/>
        <w:ind w:firstLine="480"/>
        <w:jc w:val="both"/>
      </w:pPr>
      <w:r>
        <w:rPr>
          <w:rFonts w:ascii="Times New Roman" w:hAnsi="Times New Roman" w:eastAsia="標楷體"/>
          <w:b w:val="0"/>
          <w:sz w:val="24"/>
        </w:rPr>
        <w:t xml:space="preserve">3. </w:t>
      </w:r>
      <w:r>
        <w:rPr>
          <w:rFonts w:ascii="Times New Roman" w:hAnsi="Times New Roman" w:eastAsia="標楷體"/>
          <w:b/>
          <w:sz w:val="24"/>
        </w:rPr>
        <w:t>同硬體環境下的精度／資源量化比較框架</w:t>
      </w:r>
      <w:r>
        <w:rPr>
          <w:rFonts w:ascii="Times New Roman" w:hAnsi="Times New Roman" w:eastAsia="標楷體"/>
          <w:b w:val="0"/>
          <w:sz w:val="24"/>
        </w:rPr>
        <w:t>：建立「同電池、同協定、同微控制器、同量測路徑」之公平 benchmark，以 RMSE／MAE／最大誤差／收斂時間量測精度，以 Flash／RAM／每次更新 CPU cycles 量測嵌入式資源佔用，使三法之「精度─成本權衡」首次得以在受控且一致的條件下被定量呈現，填補文獻少見之缺口。</w:t>
      </w:r>
    </w:p>
    <w:p>
      <w:pPr>
        <w:spacing w:line="480" w:lineRule="exact"/>
        <w:ind w:firstLine="480"/>
        <w:jc w:val="both"/>
      </w:pPr>
      <w:r>
        <w:rPr>
          <w:rFonts w:ascii="Times New Roman" w:hAnsi="Times New Roman" w:eastAsia="標楷體"/>
          <w:b w:val="0"/>
          <w:sz w:val="24"/>
        </w:rPr>
        <w:t xml:space="preserve">此外，本研究於實作過程中亦累積並彙整了嵌入式量測平台之工程教訓（第五章 5.4），歸納出「不信任單點、量測涵蓋須在設計階段釐清」等普適設計原則，對自建電池測試平台者具參考價值。</w:t>
      </w:r>
    </w:p>
    <w:p>
      <w:pPr>
        <w:spacing w:line="360" w:lineRule="exact"/>
        <w:jc w:val="left"/>
      </w:pPr>
      <w:r>
        <w:rPr>
          <w:rFonts w:ascii="Times New Roman" w:hAnsi="Times New Roman" w:eastAsia="標楷體"/>
          <w:b/>
          <w:sz w:val="28"/>
        </w:rPr>
        <w:t>6.2 SOC 方法選用決策表（壓軸）</w:t>
      </w:r>
    </w:p>
    <w:p>
      <w:pPr>
        <w:spacing w:line="480" w:lineRule="exact"/>
        <w:ind w:firstLine="480"/>
        <w:jc w:val="both"/>
      </w:pPr>
      <w:r>
        <w:rPr>
          <w:rFonts w:ascii="Times New Roman" w:hAnsi="Times New Roman" w:eastAsia="標楷體"/>
          <w:b w:val="0"/>
          <w:sz w:val="24"/>
        </w:rPr>
        <w:t xml:space="preserve">綜合全研究之精度、強健性與嵌入式資源三軸結論，依目標應用之約束條件，給出 SOC 估測方法選用之決策建議如表 6-1。本表為第四章 4.4.4 應用建議在全研究結論下的收束版本——其中動態阻抗一列之精度（單獨反推 RMSE 約 6～10%、SOC 中段較差）已有第四章 4.3.4 實測支撐；庫倫計數與 EKF 之精確數值待第四章 </w:t>
      </w:r>
      <w:r>
        <w:rPr>
          <w:rFonts w:ascii="Times New Roman" w:hAnsi="Times New Roman" w:eastAsia="標楷體"/>
          <w:b w:val="0"/>
          <w:color w:val="C00000"/>
          <w:sz w:val="24"/>
        </w:rPr>
        <w:t>[待測]</w:t>
      </w:r>
      <w:r>
        <w:rPr>
          <w:rFonts w:ascii="Times New Roman" w:hAnsi="Times New Roman" w:eastAsia="標楷體"/>
          <w:b w:val="0"/>
          <w:sz w:val="24"/>
        </w:rPr>
        <w:t xml:space="preserve"> 實驗回填後，本表即由定性建議升級為定量決策依據。</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76"/>
        <w:gridCol w:w="2076"/>
        <w:gridCol w:w="2076"/>
        <w:gridCol w:w="2076"/>
      </w:tblGrid>
      <w:tr>
        <w:tc>
          <w:tcPr>
            <w:tcW w:type="dxa" w:w="2076"/>
            <w:shd w:val="clear" w:color="auto" w:fill="D9E2F3"/>
          </w:tcPr>
          <w:p>
            <w:pPr>
              <w:jc w:val="center"/>
            </w:pPr>
            <w:r/>
            <w:r>
              <w:rPr>
                <w:rFonts w:ascii="Times New Roman" w:hAnsi="Times New Roman" w:eastAsia="標楷體"/>
                <w:b/>
                <w:sz w:val="21"/>
              </w:rPr>
              <w:t>應用約束情境</w:t>
            </w:r>
          </w:p>
        </w:tc>
        <w:tc>
          <w:tcPr>
            <w:tcW w:type="dxa" w:w="2076"/>
            <w:shd w:val="clear" w:color="auto" w:fill="D9E2F3"/>
          </w:tcPr>
          <w:p>
            <w:pPr>
              <w:jc w:val="center"/>
            </w:pPr>
            <w:r/>
            <w:r>
              <w:rPr>
                <w:rFonts w:ascii="Times New Roman" w:hAnsi="Times New Roman" w:eastAsia="標楷體"/>
                <w:b/>
                <w:sz w:val="21"/>
              </w:rPr>
              <w:t>首選方法</w:t>
            </w:r>
          </w:p>
        </w:tc>
        <w:tc>
          <w:tcPr>
            <w:tcW w:type="dxa" w:w="2076"/>
            <w:shd w:val="clear" w:color="auto" w:fill="D9E2F3"/>
          </w:tcPr>
          <w:p>
            <w:pPr>
              <w:jc w:val="center"/>
            </w:pPr>
            <w:r/>
            <w:r>
              <w:rPr>
                <w:rFonts w:ascii="Times New Roman" w:hAnsi="Times New Roman" w:eastAsia="標楷體"/>
                <w:b/>
                <w:sz w:val="21"/>
              </w:rPr>
              <w:t>理由</w:t>
            </w:r>
          </w:p>
        </w:tc>
        <w:tc>
          <w:tcPr>
            <w:tcW w:type="dxa" w:w="2076"/>
            <w:shd w:val="clear" w:color="auto" w:fill="D9E2F3"/>
          </w:tcPr>
          <w:p>
            <w:pPr>
              <w:jc w:val="center"/>
            </w:pPr>
            <w:r/>
            <w:r>
              <w:rPr>
                <w:rFonts w:ascii="Times New Roman" w:hAnsi="Times New Roman" w:eastAsia="標楷體"/>
                <w:b/>
                <w:sz w:val="21"/>
              </w:rPr>
              <w:t>主要代價</w:t>
            </w:r>
          </w:p>
        </w:tc>
      </w:tr>
      <w:tr>
        <w:tc>
          <w:tcPr>
            <w:tcW w:type="dxa" w:w="2076"/>
          </w:tcPr>
          <w:p>
            <w:pPr>
              <w:jc w:val="left"/>
            </w:pPr>
            <w:r/>
            <w:r>
              <w:rPr>
                <w:rFonts w:ascii="Times New Roman" w:hAnsi="Times New Roman" w:eastAsia="標楷體"/>
                <w:b w:val="0"/>
                <w:sz w:val="21"/>
              </w:rPr>
              <w:t>極低成本／極低算力（8-bit、無 FPU、Flash &lt; 8 KB）</w:t>
            </w:r>
          </w:p>
        </w:tc>
        <w:tc>
          <w:tcPr>
            <w:tcW w:type="dxa" w:w="2076"/>
          </w:tcPr>
          <w:p>
            <w:pPr>
              <w:jc w:val="left"/>
            </w:pPr>
            <w:r/>
            <w:r>
              <w:rPr>
                <w:rFonts w:ascii="Times New Roman" w:hAnsi="Times New Roman" w:eastAsia="標楷體"/>
                <w:b w:val="0"/>
                <w:sz w:val="21"/>
              </w:rPr>
              <w:t>庫倫計數 + 靜置 OCV 週期修正</w:t>
            </w:r>
          </w:p>
        </w:tc>
        <w:tc>
          <w:tcPr>
            <w:tcW w:type="dxa" w:w="2076"/>
          </w:tcPr>
          <w:p>
            <w:pPr>
              <w:jc w:val="left"/>
            </w:pPr>
            <w:r/>
            <w:r>
              <w:rPr>
                <w:rFonts w:ascii="Times New Roman" w:hAnsi="Times New Roman" w:eastAsia="標楷體"/>
                <w:b w:val="0"/>
                <w:sz w:val="21"/>
              </w:rPr>
              <w:t>資源下界，一乘一加即可；以靜置 OCV 補長期漂移</w:t>
            </w:r>
          </w:p>
        </w:tc>
        <w:tc>
          <w:tcPr>
            <w:tcW w:type="dxa" w:w="2076"/>
          </w:tcPr>
          <w:p>
            <w:pPr>
              <w:jc w:val="left"/>
            </w:pPr>
            <w:r/>
            <w:r>
              <w:rPr>
                <w:rFonts w:ascii="Times New Roman" w:hAnsi="Times New Roman" w:eastAsia="標楷體"/>
                <w:b w:val="0"/>
                <w:sz w:val="21"/>
              </w:rPr>
              <w:t>無自我修正，依賴週期性靜置；初值錯誤不收斂</w:t>
            </w:r>
          </w:p>
        </w:tc>
      </w:tr>
      <w:tr>
        <w:tc>
          <w:tcPr>
            <w:tcW w:type="dxa" w:w="2076"/>
          </w:tcPr>
          <w:p>
            <w:pPr>
              <w:jc w:val="left"/>
            </w:pPr>
            <w:r/>
            <w:r>
              <w:rPr>
                <w:rFonts w:ascii="Times New Roman" w:hAnsi="Times New Roman" w:eastAsia="標楷體"/>
                <w:b w:val="0"/>
                <w:sz w:val="21"/>
              </w:rPr>
              <w:t>中階且需自初值錯誤恢復、長期免人工校正</w:t>
            </w:r>
          </w:p>
        </w:tc>
        <w:tc>
          <w:tcPr>
            <w:tcW w:type="dxa" w:w="2076"/>
          </w:tcPr>
          <w:p>
            <w:pPr>
              <w:jc w:val="left"/>
            </w:pPr>
            <w:r/>
            <w:r>
              <w:rPr>
                <w:rFonts w:ascii="Times New Roman" w:hAnsi="Times New Roman" w:eastAsia="標楷體"/>
                <w:b w:val="0"/>
                <w:sz w:val="21"/>
              </w:rPr>
              <w:t>EKF（一階 RC）</w:t>
            </w:r>
          </w:p>
        </w:tc>
        <w:tc>
          <w:tcPr>
            <w:tcW w:type="dxa" w:w="2076"/>
          </w:tcPr>
          <w:p>
            <w:pPr>
              <w:jc w:val="left"/>
            </w:pPr>
            <w:r/>
            <w:r>
              <w:rPr>
                <w:rFonts w:ascii="Times New Roman" w:hAnsi="Times New Roman" w:eastAsia="標楷體"/>
                <w:b w:val="0"/>
                <w:sz w:val="21"/>
              </w:rPr>
              <w:t>融合電流積分與端電壓觀測，精度與強健性最佳，可自初值錯誤收斂</w:t>
            </w:r>
          </w:p>
        </w:tc>
        <w:tc>
          <w:tcPr>
            <w:tcW w:type="dxa" w:w="2076"/>
          </w:tcPr>
          <w:p>
            <w:pPr>
              <w:jc w:val="left"/>
            </w:pPr>
            <w:r/>
            <w:r>
              <w:rPr>
                <w:rFonts w:ascii="Times New Roman" w:hAnsi="Times New Roman" w:eastAsia="標楷體"/>
                <w:b w:val="0"/>
                <w:sz w:val="21"/>
              </w:rPr>
              <w:t>需 OCV 表；軟浮點下單次運算量最高、Flash／RAM 代價最大</w:t>
            </w:r>
          </w:p>
        </w:tc>
      </w:tr>
      <w:tr>
        <w:tc>
          <w:tcPr>
            <w:tcW w:type="dxa" w:w="2076"/>
          </w:tcPr>
          <w:p>
            <w:pPr>
              <w:jc w:val="left"/>
            </w:pPr>
            <w:r/>
            <w:r>
              <w:rPr>
                <w:rFonts w:ascii="Times New Roman" w:hAnsi="Times New Roman" w:eastAsia="標楷體"/>
                <w:b w:val="0"/>
                <w:sz w:val="21"/>
              </w:rPr>
              <w:t>工作中即時估測、無靜置機會、實驗成本敏感</w:t>
            </w:r>
          </w:p>
        </w:tc>
        <w:tc>
          <w:tcPr>
            <w:tcW w:type="dxa" w:w="2076"/>
          </w:tcPr>
          <w:p>
            <w:pPr>
              <w:jc w:val="left"/>
            </w:pPr>
            <w:r/>
            <w:r>
              <w:rPr>
                <w:rFonts w:ascii="Times New Roman" w:hAnsi="Times New Roman" w:eastAsia="標楷體"/>
                <w:b w:val="0"/>
                <w:sz w:val="21"/>
              </w:rPr>
              <w:t>動態阻抗（+ 庫倫內插）</w:t>
            </w:r>
          </w:p>
        </w:tc>
        <w:tc>
          <w:tcPr>
            <w:tcW w:type="dxa" w:w="2076"/>
          </w:tcPr>
          <w:p>
            <w:pPr>
              <w:jc w:val="left"/>
            </w:pPr>
            <w:r/>
            <w:r>
              <w:rPr>
                <w:rFonts w:ascii="Times New Roman" w:hAnsi="Times New Roman" w:eastAsia="標楷體"/>
                <w:b w:val="0"/>
                <w:sz w:val="21"/>
              </w:rPr>
              <w:t>無須初值與靜置；複用既有擾動，建表成本低</w:t>
            </w:r>
          </w:p>
        </w:tc>
        <w:tc>
          <w:tcPr>
            <w:tcW w:type="dxa" w:w="2076"/>
          </w:tcPr>
          <w:p>
            <w:pPr>
              <w:jc w:val="left"/>
            </w:pPr>
            <w:r/>
            <w:r>
              <w:rPr>
                <w:rFonts w:ascii="Times New Roman" w:hAnsi="Times New Roman" w:eastAsia="標楷體"/>
                <w:b w:val="0"/>
                <w:sz w:val="21"/>
              </w:rPr>
              <w:t>單獨反推 SOC 中段病態（誤差大）；僅擾動事件處產生獨立估測</w:t>
            </w:r>
          </w:p>
        </w:tc>
      </w:tr>
      <w:tr>
        <w:tc>
          <w:tcPr>
            <w:tcW w:type="dxa" w:w="2076"/>
          </w:tcPr>
          <w:p>
            <w:pPr>
              <w:jc w:val="left"/>
            </w:pPr>
            <w:r/>
            <w:r>
              <w:rPr>
                <w:rFonts w:ascii="Times New Roman" w:hAnsi="Times New Roman" w:eastAsia="標楷體"/>
                <w:b w:val="0"/>
                <w:sz w:val="21"/>
              </w:rPr>
              <w:t>高可靠度、資源充裕、追求最佳整體表現</w:t>
            </w:r>
          </w:p>
        </w:tc>
        <w:tc>
          <w:tcPr>
            <w:tcW w:type="dxa" w:w="2076"/>
          </w:tcPr>
          <w:p>
            <w:pPr>
              <w:jc w:val="left"/>
            </w:pPr>
            <w:r/>
            <w:r>
              <w:rPr>
                <w:rFonts w:ascii="Times New Roman" w:hAnsi="Times New Roman" w:eastAsia="標楷體"/>
                <w:b w:val="0"/>
                <w:sz w:val="21"/>
              </w:rPr>
              <w:t>三法混合（庫倫連續 + 動態阻抗離散校正 + EKF 融合）</w:t>
            </w:r>
          </w:p>
        </w:tc>
        <w:tc>
          <w:tcPr>
            <w:tcW w:type="dxa" w:w="2076"/>
          </w:tcPr>
          <w:p>
            <w:pPr>
              <w:jc w:val="left"/>
            </w:pPr>
            <w:r/>
            <w:r>
              <w:rPr>
                <w:rFonts w:ascii="Times New Roman" w:hAnsi="Times New Roman" w:eastAsia="標楷體"/>
                <w:b w:val="0"/>
                <w:sz w:val="21"/>
              </w:rPr>
              <w:t>互補：庫倫提供連續高解析、動態阻抗提供無初值校正、EKF 提供最佳融合與恢復</w:t>
            </w:r>
          </w:p>
        </w:tc>
        <w:tc>
          <w:tcPr>
            <w:tcW w:type="dxa" w:w="2076"/>
          </w:tcPr>
          <w:p>
            <w:pPr>
              <w:jc w:val="left"/>
            </w:pPr>
            <w:r/>
            <w:r>
              <w:rPr>
                <w:rFonts w:ascii="Times New Roman" w:hAnsi="Times New Roman" w:eastAsia="標楷體"/>
                <w:b w:val="0"/>
                <w:sz w:val="21"/>
              </w:rPr>
              <w:t>整合複雜度與資源佔用最高（第五章 5.1 並行架構）</w:t>
            </w:r>
          </w:p>
        </w:tc>
      </w:tr>
    </w:tbl>
    <w:p>
      <w:pPr>
        <w:jc w:val="center"/>
      </w:pPr>
      <w:r>
        <w:rPr>
          <w:rFonts w:ascii="Times New Roman" w:hAnsi="Times New Roman" w:eastAsia="標楷體"/>
          <w:b/>
          <w:sz w:val="22"/>
        </w:rPr>
        <w:t>表 6-1　SOC 估測方法選用決策表（全研究結論版；動態阻抗精度為實測，餘待 [待測] 回填升級為定量）</w:t>
      </w:r>
    </w:p>
    <w:p>
      <w:pPr>
        <w:spacing w:line="480" w:lineRule="exact"/>
        <w:ind w:firstLine="480"/>
        <w:jc w:val="both"/>
      </w:pPr>
      <w:r>
        <w:rPr>
          <w:rFonts w:ascii="Times New Roman" w:hAnsi="Times New Roman" w:eastAsia="標楷體"/>
          <w:b w:val="0"/>
          <w:sz w:val="24"/>
        </w:rPr>
        <w:t>此決策表即本研究核心命題「精度─成本權衡」之最終答案：</w:t>
      </w:r>
      <w:r>
        <w:rPr>
          <w:rFonts w:ascii="Times New Roman" w:hAnsi="Times New Roman" w:eastAsia="標楷體"/>
          <w:b/>
          <w:sz w:val="24"/>
        </w:rPr>
        <w:t>不存在單一最優方法，最優選擇取決於目標硬體的資源約束與應用對初值錯誤恢復、靜置機會、實驗成本的要求</w:t>
      </w:r>
      <w:r>
        <w:rPr>
          <w:rFonts w:ascii="Times New Roman" w:hAnsi="Times New Roman" w:eastAsia="標楷體"/>
          <w:b w:val="0"/>
          <w:sz w:val="24"/>
        </w:rPr>
        <w:t>。本研究的價值，在於將此權衡由「文獻中的定性印象」轉化為「同硬體實測支撐的決策依據」。</w:t>
      </w:r>
    </w:p>
    <w:p>
      <w:pPr>
        <w:spacing w:line="360" w:lineRule="exact"/>
        <w:jc w:val="left"/>
      </w:pPr>
      <w:r>
        <w:rPr>
          <w:rFonts w:ascii="Times New Roman" w:hAnsi="Times New Roman" w:eastAsia="標楷體"/>
          <w:b/>
          <w:sz w:val="28"/>
        </w:rPr>
        <w:t>6.3 研究限制</w:t>
      </w:r>
    </w:p>
    <w:p>
      <w:pPr>
        <w:spacing w:line="480" w:lineRule="exact"/>
        <w:ind w:firstLine="480"/>
        <w:jc w:val="both"/>
      </w:pPr>
      <w:r>
        <w:rPr>
          <w:rFonts w:ascii="Times New Roman" w:hAnsi="Times New Roman" w:eastAsia="標楷體"/>
          <w:b w:val="0"/>
          <w:sz w:val="24"/>
        </w:rPr>
        <w:t>本研究之結論受下列條件限制，於推廣應用時須一併考量：</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單一電池化學體系與樣本</w:t>
      </w:r>
      <w:r>
        <w:rPr>
          <w:rFonts w:ascii="Times New Roman" w:hAnsi="Times New Roman" w:eastAsia="標楷體"/>
          <w:b w:val="0"/>
          <w:sz w:val="24"/>
        </w:rPr>
        <w:t>：所有實驗僅基於一顆客製化 NMC 鋰離子電池。NMC 之開路電壓曲線相對平緩但無顯著遲滯，本研究之 OCV 表、動態阻抗拋物線與各方法精度結論未必能直接外推至其他化學體系（尤以 LFP 之強遲滯特性差異最大，見 6.4）。</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室溫、無溫度補償</w:t>
      </w:r>
      <w:r>
        <w:rPr>
          <w:rFonts w:ascii="Times New Roman" w:hAnsi="Times New Roman" w:eastAsia="標楷體"/>
          <w:b w:val="0"/>
          <w:sz w:val="24"/>
        </w:rPr>
        <w:t>：所有測試於室溫進行，未涵蓋低溫／高溫工況。溫度顯著影響電池內阻、極化與 OCV，實際 BMS 須有溫度補償；本研究之結論僅在近室溫條件下成立。</w:t>
      </w:r>
    </w:p>
    <w:p>
      <w:pPr>
        <w:spacing w:line="480" w:lineRule="exact"/>
        <w:ind w:firstLine="480"/>
        <w:jc w:val="both"/>
      </w:pPr>
      <w:r>
        <w:rPr>
          <w:rFonts w:ascii="Times New Roman" w:hAnsi="Times New Roman" w:eastAsia="標楷體"/>
          <w:b w:val="0"/>
          <w:sz w:val="24"/>
        </w:rPr>
        <w:t xml:space="preserve">3. </w:t>
      </w:r>
      <w:r>
        <w:rPr>
          <w:rFonts w:ascii="Times New Roman" w:hAnsi="Times New Roman" w:eastAsia="標楷體"/>
          <w:b/>
          <w:sz w:val="24"/>
        </w:rPr>
        <w:t>僅做 SOC，未做 SOH</w:t>
      </w:r>
      <w:r>
        <w:rPr>
          <w:rFonts w:ascii="Times New Roman" w:hAnsi="Times New Roman" w:eastAsia="標楷體"/>
          <w:b w:val="0"/>
          <w:sz w:val="24"/>
        </w:rPr>
        <w:t>：依研究範圍裁切（第一章），本研究聚焦 SOC 估測，SOH 列為未來工作。雖然第五章已實測到可分離的老化訊號（38 輪約 3.7% 衰退），但尚未實作 SOH 估測演算法。</w:t>
      </w:r>
    </w:p>
    <w:p>
      <w:pPr>
        <w:spacing w:line="480" w:lineRule="exact"/>
        <w:ind w:firstLine="480"/>
        <w:jc w:val="both"/>
      </w:pPr>
      <w:r>
        <w:rPr>
          <w:rFonts w:ascii="Times New Roman" w:hAnsi="Times New Roman" w:eastAsia="標楷體"/>
          <w:b w:val="0"/>
          <w:sz w:val="24"/>
        </w:rPr>
        <w:t xml:space="preserve">4. </w:t>
      </w:r>
      <w:r>
        <w:rPr>
          <w:rFonts w:ascii="Times New Roman" w:hAnsi="Times New Roman" w:eastAsia="標楷體"/>
          <w:b/>
          <w:sz w:val="24"/>
        </w:rPr>
        <w:t>rate capability 平坦之有利條件</w:t>
      </w:r>
      <w:r>
        <w:rPr>
          <w:rFonts w:ascii="Times New Roman" w:hAnsi="Times New Roman" w:eastAsia="標楷體"/>
          <w:b w:val="0"/>
          <w:sz w:val="24"/>
        </w:rPr>
        <w:t>：本電池 0.5C→2.0C 容量僅降約 1%（第四章 4.1.4），對所有依賴端電壓的模型方法（EKF、動態阻抗）構成相對有利的條件（高倍率下端電壓仍接近 OCV，模型失配小）。對內阻高、極化大的電池，各方法精度可能劣化。</w:t>
      </w:r>
    </w:p>
    <w:p>
      <w:pPr>
        <w:spacing w:line="480" w:lineRule="exact"/>
        <w:ind w:firstLine="480"/>
        <w:jc w:val="both"/>
      </w:pPr>
      <w:r>
        <w:rPr>
          <w:rFonts w:ascii="Times New Roman" w:hAnsi="Times New Roman" w:eastAsia="標楷體"/>
          <w:b w:val="0"/>
          <w:sz w:val="24"/>
        </w:rPr>
        <w:t xml:space="preserve">5. </w:t>
      </w:r>
      <w:r>
        <w:rPr>
          <w:rFonts w:ascii="Times New Roman" w:hAnsi="Times New Roman" w:eastAsia="標楷體"/>
          <w:b/>
          <w:sz w:val="24"/>
        </w:rPr>
        <w:t>部分比較數值待實測回填</w:t>
      </w:r>
      <w:r>
        <w:rPr>
          <w:rFonts w:ascii="Times New Roman" w:hAnsi="Times New Roman" w:eastAsia="標楷體"/>
          <w:b w:val="0"/>
          <w:sz w:val="24"/>
        </w:rPr>
        <w:t xml:space="preserve">：本稿時點，EKF 之精度／收斂與三法之 footprint 仍為 </w:t>
      </w:r>
      <w:r>
        <w:rPr>
          <w:rFonts w:ascii="Times New Roman" w:hAnsi="Times New Roman" w:eastAsia="標楷體"/>
          <w:b w:val="0"/>
          <w:color w:val="C00000"/>
          <w:sz w:val="24"/>
        </w:rPr>
        <w:t>[待測]</w:t>
      </w:r>
      <w:r>
        <w:rPr>
          <w:rFonts w:ascii="Times New Roman" w:hAnsi="Times New Roman" w:eastAsia="標楷體"/>
          <w:b w:val="0"/>
          <w:sz w:val="24"/>
        </w:rPr>
        <w:t>。本研究嚴守「不虛構數據」原則，相關結論於實驗完成前以定性形式呈現，俟回填後方為完整定量結論。</w:t>
      </w:r>
    </w:p>
    <w:p>
      <w:pPr>
        <w:spacing w:line="360" w:lineRule="exact"/>
        <w:jc w:val="left"/>
      </w:pPr>
      <w:r>
        <w:rPr>
          <w:rFonts w:ascii="Times New Roman" w:hAnsi="Times New Roman" w:eastAsia="標楷體"/>
          <w:b/>
          <w:sz w:val="28"/>
        </w:rPr>
        <w:t>6.4 未來工作</w:t>
      </w:r>
    </w:p>
    <w:p>
      <w:pPr>
        <w:spacing w:line="360" w:lineRule="exact"/>
        <w:jc w:val="left"/>
      </w:pPr>
      <w:r>
        <w:rPr>
          <w:rFonts w:ascii="Times New Roman" w:hAnsi="Times New Roman" w:eastAsia="標楷體"/>
          <w:b/>
          <w:sz w:val="26"/>
        </w:rPr>
        <w:t>6.4.1 SOH 估測延伸</w:t>
      </w:r>
    </w:p>
    <w:p>
      <w:pPr>
        <w:spacing w:line="480" w:lineRule="exact"/>
        <w:ind w:firstLine="480"/>
        <w:jc w:val="both"/>
      </w:pPr>
      <w:r>
        <w:rPr>
          <w:rFonts w:ascii="Times New Roman" w:hAnsi="Times New Roman" w:eastAsia="標楷體"/>
          <w:b w:val="0"/>
          <w:sz w:val="24"/>
        </w:rPr>
        <w:t>本研究之測試平台與長期循環數據（第五章：38 輪、可分離之 3.7% 老化軌跡）為 SOH 估測提供了現成基礎。未來可於現有框架上延伸：</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容量衰退追蹤法</w:t>
      </w:r>
      <w:r>
        <w:rPr>
          <w:rFonts w:ascii="Times New Roman" w:hAnsi="Times New Roman" w:eastAsia="標楷體"/>
          <w:b w:val="0"/>
          <w:sz w:val="24"/>
        </w:rPr>
        <w:t xml:space="preserve">：直接以 cycle</w:t>
      </w:r>
      <w:r>
        <w:rPr>
          <w:rFonts w:ascii="Times New Roman" w:hAnsi="Times New Roman" w:eastAsia="標楷體"/>
          <w:b w:val="0"/>
          <w:sz w:val="24"/>
          <w:vertAlign w:val="subscript"/>
        </w:rPr>
        <w:t xml:space="preserve">log</w:t>
      </w:r>
      <w:r>
        <w:rPr>
          <w:rFonts w:ascii="Times New Roman" w:hAnsi="Times New Roman" w:eastAsia="標楷體"/>
          <w:b w:val="0"/>
          <w:sz w:val="24"/>
        </w:rPr>
        <w:t xml:space="preserve"> 之逐輪滿放容量為 SOH 指標，本研究已具備此資料管線。</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內阻成長法</w:t>
      </w:r>
      <w:r>
        <w:rPr>
          <w:rFonts w:ascii="Times New Roman" w:hAnsi="Times New Roman" w:eastAsia="標楷體"/>
          <w:b w:val="0"/>
          <w:sz w:val="24"/>
        </w:rPr>
        <w:t>：複用動態阻抗法既有之 Δ V/Δ I 擾動量測，追蹤特定 SOC 點之內阻隨循環次數的成長，作為 SOH 之另一獨立指標。</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投影法／ICA（增量容量分析）</w:t>
      </w:r>
      <w:r>
        <w:rPr>
          <w:rFonts w:ascii="Times New Roman" w:hAnsi="Times New Roman" w:eastAsia="標楷體"/>
          <w:b w:val="0"/>
          <w:sz w:val="24"/>
        </w:rPr>
        <w:t>：以充放電曲線之微分特徵追蹤老化，可與上述兩法交叉驗證。</w:t>
      </w:r>
    </w:p>
    <w:p>
      <w:pPr>
        <w:spacing w:line="480" w:lineRule="exact"/>
        <w:ind w:firstLine="480"/>
        <w:jc w:val="both"/>
      </w:pPr>
      <w:r>
        <w:rPr>
          <w:rFonts w:ascii="Times New Roman" w:hAnsi="Times New Roman" w:eastAsia="標楷體"/>
          <w:b w:val="0"/>
          <w:sz w:val="24"/>
        </w:rPr>
        <w:t>由於 SOH 指標多可複用本研究已有之量測（容量、動態阻抗），延伸成本相對低，是最自然的下一步。</w:t>
      </w:r>
    </w:p>
    <w:p>
      <w:pPr>
        <w:spacing w:line="360" w:lineRule="exact"/>
        <w:jc w:val="left"/>
      </w:pPr>
      <w:r>
        <w:rPr>
          <w:rFonts w:ascii="Times New Roman" w:hAnsi="Times New Roman" w:eastAsia="標楷體"/>
          <w:b/>
          <w:sz w:val="26"/>
        </w:rPr>
        <w:t>6.4.2 LFP 電池遲滯處理</w:t>
      </w:r>
    </w:p>
    <w:p>
      <w:pPr>
        <w:spacing w:line="480" w:lineRule="exact"/>
        <w:ind w:firstLine="480"/>
        <w:jc w:val="both"/>
      </w:pPr>
      <w:r>
        <w:rPr>
          <w:rFonts w:ascii="Times New Roman" w:hAnsi="Times New Roman" w:eastAsia="標楷體"/>
          <w:b w:val="0"/>
          <w:sz w:val="24"/>
        </w:rPr>
        <w:t>LFP 電池之開路電壓曲線極平坦且具顯著充放電遲滯，使依賴 OCV 的方法（EKF）面臨「OCV 對 SOC 不敏感」與「遲滯造成 OCV 多值」兩大挑戰。未來可引入遲滯狀態模型（如一階遲滯態擴充至 EKF 狀態向量），並比較動態阻抗法在 LFP 上的表現（其不依賴 OCV，理論上較不受遲滯影響），是極具研究價值的對照延伸。</w:t>
      </w:r>
    </w:p>
    <w:p>
      <w:pPr>
        <w:spacing w:line="360" w:lineRule="exact"/>
        <w:jc w:val="left"/>
      </w:pPr>
      <w:r>
        <w:rPr>
          <w:rFonts w:ascii="Times New Roman" w:hAnsi="Times New Roman" w:eastAsia="標楷體"/>
          <w:b/>
          <w:sz w:val="26"/>
        </w:rPr>
        <w:t>6.4.3 資料驅動融合與雲端 fleet learning</w:t>
      </w:r>
    </w:p>
    <w:p>
      <w:pPr>
        <w:spacing w:line="480" w:lineRule="exact"/>
        <w:ind w:firstLine="480"/>
        <w:jc w:val="both"/>
      </w:pPr>
      <w:r>
        <w:rPr>
          <w:rFonts w:ascii="Times New Roman" w:hAnsi="Times New Roman" w:eastAsia="標楷體"/>
          <w:b w:val="0"/>
          <w:sz w:val="24"/>
        </w:rPr>
        <w:t>在嵌入式資源持續成長的趨勢下，未來可探討：(a) 以輕量神經網路（如小型 RNN）融合三種估測方法之輸出，或直接由電壓／電流序列端到端估測 SOC，並在本研究之公平 benchmark 框架下量化其精度─資源權衡；(b) 將多顆電池之運行數據上傳雲端做 fleet learning，回饋校正各 MCU 之模型參數，使邊緣端的輕量方法亦能逼近高階方法之精度。</w:t>
      </w:r>
    </w:p>
    <w:p>
      <w:pPr>
        <w:spacing w:line="360" w:lineRule="exact"/>
        <w:jc w:val="left"/>
      </w:pPr>
      <w:r>
        <w:rPr>
          <w:rFonts w:ascii="Times New Roman" w:hAnsi="Times New Roman" w:eastAsia="標楷體"/>
          <w:b/>
          <w:sz w:val="28"/>
        </w:rPr>
        <w:t>6.5 結語</w:t>
      </w:r>
    </w:p>
    <w:p>
      <w:pPr>
        <w:spacing w:line="480" w:lineRule="exact"/>
        <w:ind w:firstLine="480"/>
        <w:jc w:val="both"/>
      </w:pPr>
      <w:r>
        <w:rPr>
          <w:rFonts w:ascii="Times New Roman" w:hAnsi="Times New Roman" w:eastAsia="標楷體"/>
          <w:b w:val="0"/>
          <w:sz w:val="24"/>
        </w:rPr>
        <w:t>本研究從一個務實的工程命題出發——在真實的嵌入式資源約束下，三種主流 SOC 估測方法究竟孰優孰劣？透過自建的高再現性測試平台與同硬體公平 benchmark，本研究將此問題的答案由文獻中的定性印象，推進為實測數據支撐的決策依據：沒有放諸四海皆準的最優方法，最優選擇是資源、精度與強健性三者在特定應用約束下的權衡結果。期望本研究之平台、框架與決策表，能為嵌入式 BMS 之 SOC 演算法選型提供一份誠實而可操作的參考。</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i w:val="0"/>
          <w:sz w:val="24"/>
        </w:rPr>
        <w:t>[1] C.-H. Lin, C.-M. Wang, and C.-Y. Ho, "Implementation of State-of-Charge and State-of-Health Estimation for Lithium-Ion Batteries," 2016.</w:t>
      </w:r>
    </w:p>
    <w:p>
      <w:pPr>
        <w:spacing w:lineRule="atLeast" w:line="480"/>
        <w:ind w:left="480" w:hanging="480"/>
      </w:pPr>
      <w:r>
        <w:rPr>
          <w:rFonts w:eastAsia="標楷體" w:ascii="Times New Roman" w:hAnsi="Times New Roman"/>
          <w:b w:val="0"/>
          <w:i w:val="0"/>
          <w:sz w:val="24"/>
        </w:rPr>
        <w:t>[2] G. L. Bressanini, T. D. C. Busarello, and A. Péres, "Design and Implementation of Lead-Acid Battery State-of-Health and State-of-Charge Measurements," in Proc. IEEE, 2017.</w:t>
      </w:r>
    </w:p>
    <w:p>
      <w:pPr>
        <w:spacing w:lineRule="atLeast" w:line="480"/>
        <w:ind w:left="480" w:hanging="480"/>
      </w:pPr>
      <w:r>
        <w:rPr>
          <w:rFonts w:eastAsia="標楷體" w:ascii="Times New Roman" w:hAnsi="Times New Roman"/>
          <w:b w:val="0"/>
          <w:i w:val="0"/>
          <w:sz w:val="24"/>
        </w:rPr>
        <w:t>[3] G. L. Plett, "Extended Kalman Filtering for Battery Management Systems of LiPB-based HEV Battery Packs (Parts 1-3)," Journal of Power Sources, vol. 134, no. 2, pp. 252-292, 2004.</w:t>
      </w:r>
    </w:p>
    <w:p>
      <w:pPr>
        <w:spacing w:lineRule="atLeast" w:line="480"/>
        <w:ind w:left="480" w:hanging="480"/>
      </w:pPr>
      <w:r>
        <w:rPr>
          <w:rFonts w:eastAsia="標楷體" w:ascii="Times New Roman" w:hAnsi="Times New Roman"/>
          <w:b w:val="0"/>
          <w:i w:val="0"/>
          <w:sz w:val="24"/>
        </w:rPr>
        <w:t>[4] H. He, R. Xiong, and J. Fan, "Evaluation of Lithium-Ion Battery Equivalent Circuit Models for State of Charge Estimation by an Experimental Approach," Energies, vol. 4, no. 4, pp. 582-598, 2011.</w:t>
      </w:r>
    </w:p>
    <w:p>
      <w:pPr>
        <w:spacing w:lineRule="atLeast" w:line="480"/>
        <w:ind w:left="480" w:hanging="480"/>
      </w:pPr>
      <w:r>
        <w:rPr>
          <w:rFonts w:eastAsia="標楷體" w:ascii="Times New Roman" w:hAnsi="Times New Roman"/>
          <w:b w:val="0"/>
          <w:i w:val="0"/>
          <w:sz w:val="24"/>
        </w:rPr>
        <w:t>[5] W. Weppner and R. A. Huggins, "Determination of the Kinetic Parameters of Mixed-Conducting Electrodes and Application to the System Li3Sb," Journal of The Electrochemical Society, vol. 124, no. 10, pp. 1569-1578, 1977.</w:t>
      </w:r>
    </w:p>
    <w:sectPr w:rsidR="001C6393" w:rsidRPr="00037F30" w:rsidSect="00FC7FF9">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000000"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