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" w:line="240" w:lineRule="auto"/>
        <w:jc w:val="center"/>
      </w:pPr>
      <w:r>
        <w:rPr>
          <w:rFonts w:ascii="Segoe UI" w:hAnsi="Segoe UI" w:cs="Segoe UI" w:eastAsia="Microsoft JhengHei"/>
          <w:b/>
          <w:i w:val="0"/>
          <w:color w:val="1F3864"/>
          <w:sz w:val="34"/>
        </w:rPr>
        <w:t>鋰電池 SOC 估測方法之比較與嵌入式實作</w:t>
      </w:r>
    </w:p>
    <w:p>
      <w:pPr>
        <w:keepNext/>
        <w:spacing w:before="0" w:after="20" w:line="240" w:lineRule="auto"/>
        <w:jc w:val="center"/>
      </w:pPr>
      <w:r>
        <w:rPr>
          <w:rFonts w:ascii="Times New Roman" w:hAnsi="Times New Roman" w:cs="Times New Roman" w:eastAsia="Microsoft JhengHei"/>
          <w:b w:val="0"/>
          <w:i/>
          <w:color w:val="2E5C9A"/>
          <w:sz w:val="16"/>
        </w:rPr>
        <w:t>A Comparative Study and Embedded Implementation of SOC Estimation Methods for Lithium-ion Batteries</w:t>
      </w:r>
    </w:p>
    <w:p>
      <w:pPr>
        <w:keepNext/>
        <w:spacing w:before="0" w:after="36" w:line="240" w:lineRule="auto"/>
        <w:jc w:val="center"/>
      </w:pPr>
      <w:r>
        <w:rPr>
          <w:rFonts w:ascii="Segoe UI" w:hAnsi="Segoe UI" w:cs="Segoe UI" w:eastAsia="Microsoft JhengHei"/>
          <w:b w:val="0"/>
          <w:i w:val="0"/>
          <w:color w:val="1A1A1A"/>
          <w:sz w:val="16"/>
        </w:rPr>
        <w:t>中原大學 資訊工程學系碩士班　　研究生：洪大甲　　指導教授：鄭維凱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4" w:space="0" w:color="BFBFBF"/>
          <w:left w:val="none" w:sz="4" w:space="0" w:color="BFBFBF"/>
          <w:bottom w:val="none" w:sz="4" w:space="0" w:color="BFBFBF"/>
          <w:right w:val="none" w:sz="4" w:space="0" w:color="BFBFBF"/>
          <w:insideH w:val="none" w:sz="4" w:space="0" w:color="BFBFBF"/>
          <w:insideV w:val="none" w:sz="4" w:space="0" w:color="BFBFBF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val="clear" w:color="auto" w:fill="1F3864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pPr>
              <w:keepNext w:val="0"/>
              <w:spacing w:before="0" w:after="0" w:line="25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6"/>
              </w:rPr>
              <w:t>同電池、同協定、同微控制器的公平比較：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FFFFFF"/>
                <w:sz w:val="16"/>
              </w:rPr>
              <w:t>EKF 全倍率 RMSE 0.22–0.90%、庫倫 1.7–2.0%、動態阻抗線上不可行──量測域一致性凌駕演算法選擇。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Segoe UI" w:hAnsi="Segoe UI" w:cs="Segoe UI" w:eastAsia="Microsoft JhengHei"/>
          <w:b w:val="0"/>
          <w:i w:val="0"/>
          <w:color w:val="1A1A1A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4" w:space="0" w:color="BFBFBF"/>
          <w:left w:val="none" w:sz="4" w:space="0" w:color="BFBFBF"/>
          <w:bottom w:val="none" w:sz="4" w:space="0" w:color="BFBFBF"/>
          <w:right w:val="none" w:sz="4" w:space="0" w:color="BFBFBF"/>
          <w:insideH w:val="none" w:sz="4" w:space="0" w:color="BFBFBF"/>
          <w:insideV w:val="none" w:sz="4" w:space="0" w:color="BFBFBF"/>
        </w:tblBorders>
      </w:tblPr>
      <w:tblGrid>
        <w:gridCol w:w="5386"/>
        <w:gridCol w:w="5386"/>
      </w:tblGrid>
      <w:tr>
        <w:tc>
          <w:tcPr>
            <w:tcW w:type="dxa" w:w="5244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keepNext/>
              <w:spacing w:before="32" w:after="28" w:line="240" w:lineRule="auto"/>
              <w:shd w:val="clear" w:color="auto" w:fill="2E5C9A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7"/>
              </w:rPr>
              <w:t xml:space="preserve">  1　研究動機與缺口</w:t>
            </w:r>
          </w:p>
          <w:p>
            <w:pPr>
              <w:keepNext w:val="0"/>
              <w:spacing w:before="0" w:after="24" w:line="240" w:lineRule="auto"/>
              <w:jc w:val="both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現有研究多於 PC 端、理想量測條件下評比 SOC 演算法，且各研究的電池、協定與硬體皆不相同，因而留下兩個缺口：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評估環境失真──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演算法在真實部署硬體上的表現未被驗證。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缺乏公平基準──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精度差異與電池、協定、硬體差異混雜，無法歸因於方法本身。</w:t>
            </w:r>
          </w:p>
          <w:p>
            <w:pPr>
              <w:keepNext/>
              <w:spacing w:before="32" w:after="28" w:line="240" w:lineRule="auto"/>
              <w:shd w:val="clear" w:color="auto" w:fill="2E5C9A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7"/>
              </w:rPr>
              <w:t xml:space="preserve">  2　自動化測試平台與量測基礎</w:t>
            </w:r>
          </w:p>
          <w:p>
            <w:pPr>
              <w:keepNext/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15876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_fig1_ar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587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10" w:after="3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555555"/>
                <w:sz w:val="12"/>
              </w:rPr>
              <w:t>圖 1　自動化跨輪電池測試平台架構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量測校正：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INA226 前端 14 點線性內插校正，全範圍電流誤差 &lt; 1‰。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跨輪協定：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CC-CV 充電 → 靜置 → 0.5–2.0C 四倍率放電，一輪 16–18 h 無人值守；放電中每 60 s 施加 dV/dI 擾動，供動態阻抗建表。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平台再現性：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三輪 CV &lt; 0.52%（噪聲下界）；41 輪老化 4.6%，為噪聲的 9 倍。</w:t>
            </w:r>
          </w:p>
          <w:p>
            <w:pPr>
              <w:keepNext/>
              <w:spacing w:before="32" w:after="28" w:line="240" w:lineRule="auto"/>
              <w:shd w:val="clear" w:color="auto" w:fill="2E5C9A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7"/>
              </w:rPr>
              <w:t xml:space="preserve">  3　三方法之嵌入式實作（STM32G071 @64 MHz）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庫倫計數：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int64 電荷累加、純整數運算，具充飽自動重錨；兼作板端真值。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EKF：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一階 RC、狀態二維、增益免矩陣求逆；GITT 21 點 OCV 表為觀測方程。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動態阻抗：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複用既有 dV/dI 擾動，二次式 Z–SOC 反解，無須靜置與初值。</w:t>
            </w:r>
          </w:p>
          <w:p>
            <w:pPr>
              <w:keepNext w:val="0"/>
              <w:spacing w:before="0" w:after="24" w:line="240" w:lineRule="auto"/>
              <w:ind w:left="181" w:hanging="181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2E5C9A"/>
                <w:sz w:val="14"/>
              </w:rPr>
              <w:t xml:space="preserve">▪ </w:t>
            </w: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並行架構：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共用前端、分離估測、統一輸出；三法共讀同一筆量測。</w:t>
            </w:r>
          </w:p>
        </w:tc>
        <w:tc>
          <w:tcPr>
            <w:tcW w:type="dxa" w:w="5244"/>
            <w:tcMar>
              <w:top w:w="0" w:type="dxa"/>
              <w:left w:w="120" w:type="dxa"/>
              <w:bottom w:w="0" w:type="dxa"/>
              <w:right w:w="0" w:type="dxa"/>
            </w:tcMar>
          </w:tcPr>
          <w:p>
            <w:pPr>
              <w:keepNext/>
              <w:spacing w:before="32" w:after="28" w:line="240" w:lineRule="auto"/>
              <w:shd w:val="clear" w:color="auto" w:fill="2E5C9A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7"/>
              </w:rPr>
              <w:t xml:space="preserve">  4　強健性壓力測試（板端／PC 重放實測）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</w:tblPr>
            <w:tblGrid>
              <w:gridCol w:w="1311"/>
              <w:gridCol w:w="1311"/>
              <w:gridCol w:w="1311"/>
              <w:gridCol w:w="1311"/>
            </w:tblGrid>
            <w:tr>
              <w:trPr>
                <w:cantSplit/>
              </w:trPr>
              <w:tc>
                <w:tcPr>
                  <w:tcW w:type="dxa" w:w="155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  <w:shd w:val="clear" w:color="auto" w:fill="D6E1F1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F3864"/>
                      <w:sz w:val="13"/>
                    </w:rPr>
                    <w:t>壓力測試</w:t>
                  </w:r>
                </w:p>
              </w:tc>
              <w:tc>
                <w:tcPr>
                  <w:tcW w:type="dxa" w:w="1162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  <w:shd w:val="clear" w:color="auto" w:fill="D6E1F1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F3864"/>
                      <w:sz w:val="13"/>
                    </w:rPr>
                    <w:t>庫倫計數</w:t>
                  </w:r>
                </w:p>
              </w:tc>
              <w:tc>
                <w:tcPr>
                  <w:tcW w:type="dxa" w:w="1077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  <w:shd w:val="clear" w:color="auto" w:fill="D6E1F1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F3864"/>
                      <w:sz w:val="13"/>
                    </w:rPr>
                    <w:t>EKF</w:t>
                  </w:r>
                </w:p>
              </w:tc>
              <w:tc>
                <w:tcPr>
                  <w:tcW w:type="dxa" w:w="121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  <w:shd w:val="clear" w:color="auto" w:fill="D6E1F1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F3864"/>
                      <w:sz w:val="13"/>
                    </w:rPr>
                    <w:t>動態阻抗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5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初值錯誤恢復</w:t>
                  </w:r>
                </w:p>
              </w:tc>
              <w:tc>
                <w:tcPr>
                  <w:tcW w:type="dxa" w:w="1162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不收斂</w:t>
                  </w:r>
                </w:p>
              </w:tc>
              <w:tc>
                <w:tcPr>
                  <w:tcW w:type="dxa" w:w="1077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A1A1A"/>
                      <w:sz w:val="13"/>
                    </w:rPr>
                    <w:t>單步拉回</w:t>
                  </w:r>
                </w:p>
              </w:tc>
              <w:tc>
                <w:tcPr>
                  <w:tcW w:type="dxa" w:w="121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首事件 ≤60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5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C-rate 切換尖峰</w:t>
                  </w:r>
                </w:p>
              </w:tc>
              <w:tc>
                <w:tcPr>
                  <w:tcW w:type="dxa" w:w="1162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A1A1A"/>
                      <w:sz w:val="13"/>
                    </w:rPr>
                    <w:t>≤0.21%</w:t>
                  </w:r>
                </w:p>
              </w:tc>
              <w:tc>
                <w:tcPr>
                  <w:tcW w:type="dxa" w:w="1077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≤0.48%</w:t>
                  </w:r>
                </w:p>
              </w:tc>
              <w:tc>
                <w:tcPr>
                  <w:tcW w:type="dxa" w:w="121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10–48%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5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噪聲下 SOC 抖動</w:t>
                  </w:r>
                </w:p>
              </w:tc>
              <w:tc>
                <w:tcPr>
                  <w:tcW w:type="dxa" w:w="1162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/>
                      <w:i w:val="0"/>
                      <w:color w:val="1A1A1A"/>
                      <w:sz w:val="13"/>
                    </w:rPr>
                    <w:t>≤0.054%</w:t>
                  </w:r>
                </w:p>
              </w:tc>
              <w:tc>
                <w:tcPr>
                  <w:tcW w:type="dxa" w:w="1077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≤0.27%</w:t>
                  </w:r>
                </w:p>
              </w:tc>
              <w:tc>
                <w:tcPr>
                  <w:tcW w:type="dxa" w:w="1219"/>
                  <w:tcMar>
                    <w:top w:w="12" w:type="dxa"/>
                    <w:left w:w="55" w:type="dxa"/>
                    <w:bottom w:w="12" w:type="dxa"/>
                    <w:right w:w="55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Segoe UI" w:hAnsi="Segoe UI" w:cs="Segoe UI" w:eastAsia="Microsoft JhengHei"/>
                      <w:b w:val="0"/>
                      <w:i w:val="0"/>
                      <w:color w:val="1A1A1A"/>
                      <w:sz w:val="13"/>
                    </w:rPr>
                    <w:t>約 53%</w:t>
                  </w:r>
                </w:p>
              </w:tc>
            </w:tr>
          </w:tbl>
          <w:p/>
          <w:p>
            <w:pPr>
              <w:keepNext w:val="0"/>
              <w:spacing w:before="16" w:after="24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555555"/>
                <w:sz w:val="12"/>
              </w:rPr>
              <w:t>表 1　庫倫無修正機制，故加入充飽自動重錨（整輪 4/4 次正確觸發）；EKF 以共變異數濾波使兩類誤差皆有界；動態阻抗於切換與噪聲下皆因二次反解的分枝翻轉而失控。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2"/>
              </w:rPr>
            </w:r>
          </w:p>
          <w:p>
            <w:pPr>
              <w:keepNext/>
              <w:spacing w:before="32" w:after="28" w:line="240" w:lineRule="auto"/>
              <w:shd w:val="clear" w:color="auto" w:fill="2E5C9A"/>
            </w:pPr>
            <w:r>
              <w:rPr>
                <w:rFonts w:ascii="Segoe UI" w:hAnsi="Segoe UI" w:cs="Segoe UI" w:eastAsia="Microsoft JhengHei"/>
                <w:b/>
                <w:i w:val="0"/>
                <w:color w:val="FFFFFF"/>
                <w:sz w:val="17"/>
              </w:rPr>
              <w:t xml:space="preserve">  5　核心發現：量測域一致性凌駕演算法選擇</w:t>
            </w:r>
          </w:p>
          <w:p>
            <w:pPr>
              <w:keepNext/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183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ster_fig2_zdoma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18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10" w:after="3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555555"/>
                <w:sz w:val="12"/>
              </w:rPr>
              <w:t>圖 2　動態阻抗之量測域對照（Round 40 實測）</w:t>
            </w:r>
          </w:p>
          <w:p>
            <w:pPr>
              <w:keepNext w:val="0"/>
              <w:spacing w:before="0" w:after="24" w:line="240" w:lineRule="auto"/>
              <w:jc w:val="both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參數辨識域（台架負載端）與部署量測域（板端電池端子）之間約 24 mΩ 的線材／接點電阻，使 EKF 產生隨倍率放大的系統性偏差，並使動態阻抗對照表整組失效；兩域擬合僅常數項平移──曲線形狀由電芯決定，常數項由量測鏈決定。</w:t>
            </w:r>
          </w:p>
          <w:p>
            <w:pPr>
              <w:keepNext w:val="0"/>
              <w:spacing w:before="0" w:after="24" w:line="240" w:lineRule="auto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>獨立複測證實：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R₀ 換算至部署域後，EKF 的 RMSE 由最高 4.48% 降至全倍率 &lt; 1%，倍率相依偏差完全消失；「離線建表、線上查表」的跨量測鏈搬移，是嵌入式 SOC 估測的隱形失效模式。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Segoe UI" w:hAnsi="Segoe UI" w:cs="Segoe UI" w:eastAsia="Microsoft JhengHei"/>
          <w:b w:val="0"/>
          <w:i w:val="0"/>
          <w:color w:val="1A1A1A"/>
          <w:sz w:val="2"/>
        </w:rPr>
      </w:r>
    </w:p>
    <w:p>
      <w:pPr>
        <w:keepNext/>
        <w:spacing w:before="32" w:after="28" w:line="240" w:lineRule="auto"/>
        <w:shd w:val="clear" w:color="auto" w:fill="2E5C9A"/>
      </w:pPr>
      <w:r>
        <w:rPr>
          <w:rFonts w:ascii="Segoe UI" w:hAnsi="Segoe UI" w:cs="Segoe UI" w:eastAsia="Microsoft JhengHei"/>
          <w:b/>
          <w:i w:val="0"/>
          <w:color w:val="FFFFFF"/>
          <w:sz w:val="17"/>
        </w:rPr>
        <w:t xml:space="preserve">  6　三法 SOC 估測軌跡實測對照</w:t>
      </w:r>
    </w:p>
    <w:p>
      <w:pPr>
        <w:keepNext/>
        <w:spacing w:before="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1405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_fig3_s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05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0" w:after="30" w:line="240" w:lineRule="auto"/>
        <w:jc w:val="center"/>
      </w:pPr>
      <w:r>
        <w:rPr>
          <w:rFonts w:ascii="Segoe UI" w:hAnsi="Segoe UI" w:cs="Segoe UI" w:eastAsia="Microsoft JhengHei"/>
          <w:b w:val="0"/>
          <w:i w:val="0"/>
          <w:color w:val="555555"/>
          <w:sz w:val="12"/>
        </w:rPr>
        <w:t>圖 3　三法每秒輸出與台架庫倫真值之對照（Round 41 板端實測）：EKF 與真值幾乎重合，庫倫呈刻度差造成的輕微負偏，動態阻抗則出現鏡像跳變與夾限平台。</w:t>
      </w:r>
    </w:p>
    <w:p>
      <w:pPr>
        <w:keepNext/>
        <w:spacing w:before="32" w:after="28" w:line="240" w:lineRule="auto"/>
        <w:shd w:val="clear" w:color="auto" w:fill="2E5C9A"/>
      </w:pPr>
      <w:r>
        <w:rPr>
          <w:rFonts w:ascii="Segoe UI" w:hAnsi="Segoe UI" w:cs="Segoe UI" w:eastAsia="Microsoft JhengHei"/>
          <w:b/>
          <w:i w:val="0"/>
          <w:color w:val="FFFFFF"/>
          <w:sz w:val="17"/>
        </w:rPr>
        <w:t xml:space="preserve">  7　精度─資源權衡與方法選用決策（同硬體實測，本研究核心產出）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cantSplit/>
        </w:trPr>
        <w:tc>
          <w:tcPr>
            <w:tcW w:type="dxa" w:w="1219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方法</w:t>
            </w:r>
          </w:p>
        </w:tc>
        <w:tc>
          <w:tcPr>
            <w:tcW w:type="dxa" w:w="1106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RMSE (%)</w:t>
            </w:r>
          </w:p>
        </w:tc>
        <w:tc>
          <w:tcPr>
            <w:tcW w:type="dxa" w:w="907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最大誤差 (%)</w:t>
            </w:r>
          </w:p>
        </w:tc>
        <w:tc>
          <w:tcPr>
            <w:tcW w:type="dxa" w:w="850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Flash (B)</w:t>
            </w:r>
          </w:p>
        </w:tc>
        <w:tc>
          <w:tcPr>
            <w:tcW w:type="dxa" w:w="709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RAM (B)</w:t>
            </w:r>
          </w:p>
        </w:tc>
        <w:tc>
          <w:tcPr>
            <w:tcW w:type="dxa" w:w="1332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cycles／次更新</w:t>
            </w:r>
          </w:p>
        </w:tc>
        <w:tc>
          <w:tcPr>
            <w:tcW w:type="dxa" w:w="4649"/>
            <w:tcMar>
              <w:top w:w="12" w:type="dxa"/>
              <w:left w:w="55" w:type="dxa"/>
              <w:bottom w:w="12" w:type="dxa"/>
              <w:right w:w="55" w:type="dxa"/>
            </w:tcMar>
            <w:shd w:val="clear" w:color="auto" w:fill="D6E1F1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2"/>
              </w:rPr>
              <w:t>適用情境與主要代價（實測依據）</w:t>
            </w:r>
          </w:p>
        </w:tc>
      </w:tr>
      <w:tr>
        <w:trPr>
          <w:cantSplit/>
        </w:trPr>
        <w:tc>
          <w:tcPr>
            <w:tcW w:type="dxa" w:w="121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庫倫計數</w:t>
            </w:r>
          </w:p>
        </w:tc>
        <w:tc>
          <w:tcPr>
            <w:tcW w:type="dxa" w:w="1106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1.7–2.0</w:t>
            </w:r>
          </w:p>
        </w:tc>
        <w:tc>
          <w:tcPr>
            <w:tcW w:type="dxa" w:w="907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3.0–3.5</w:t>
            </w:r>
          </w:p>
        </w:tc>
        <w:tc>
          <w:tcPr>
            <w:tcW w:type="dxa" w:w="850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+1,892</w:t>
            </w:r>
          </w:p>
        </w:tc>
        <w:tc>
          <w:tcPr>
            <w:tcW w:type="dxa" w:w="70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+24</w:t>
            </w:r>
          </w:p>
        </w:tc>
        <w:tc>
          <w:tcPr>
            <w:tcW w:type="dxa" w:w="1332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305（4.8 µs）</w:t>
            </w:r>
          </w:p>
        </w:tc>
        <w:tc>
          <w:tcPr>
            <w:tcW w:type="dxa" w:w="464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極低成本／算力（8-bit、Flash &lt; 8 KB）：資源下界；無自我修正，精度上限由電流量測鏈刻度（±2%）決定</w:t>
            </w:r>
          </w:p>
        </w:tc>
      </w:tr>
      <w:tr>
        <w:trPr>
          <w:cantSplit/>
        </w:trPr>
        <w:tc>
          <w:tcPr>
            <w:tcW w:type="dxa" w:w="121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/>
                <w:i w:val="0"/>
                <w:color w:val="1A1A1A"/>
                <w:sz w:val="12"/>
              </w:rPr>
              <w:t>EKF（一階 RC）</w:t>
            </w:r>
          </w:p>
        </w:tc>
        <w:tc>
          <w:tcPr>
            <w:tcW w:type="dxa" w:w="1106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A1A1A"/>
                <w:sz w:val="12"/>
              </w:rPr>
              <w:t>0.22–0.90</w:t>
            </w:r>
          </w:p>
        </w:tc>
        <w:tc>
          <w:tcPr>
            <w:tcW w:type="dxa" w:w="907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/>
                <w:i w:val="0"/>
                <w:color w:val="1A1A1A"/>
                <w:sz w:val="12"/>
              </w:rPr>
              <w:t>0.6–1.9</w:t>
            </w:r>
          </w:p>
        </w:tc>
        <w:tc>
          <w:tcPr>
            <w:tcW w:type="dxa" w:w="850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+2,336</w:t>
            </w:r>
          </w:p>
        </w:tc>
        <w:tc>
          <w:tcPr>
            <w:tcW w:type="dxa" w:w="70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+40</w:t>
            </w:r>
          </w:p>
        </w:tc>
        <w:tc>
          <w:tcPr>
            <w:tcW w:type="dxa" w:w="1332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15,187（237 µs）</w:t>
            </w:r>
          </w:p>
        </w:tc>
        <w:tc>
          <w:tcPr>
            <w:tcW w:type="dxa" w:w="464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中階且需自初值錯誤恢復：全倍率精度最佳、錯誤初值單步拉回；須 GITT 建 OCV 表，參數必須與部署量測鏈同域</w:t>
            </w:r>
          </w:p>
        </w:tc>
      </w:tr>
      <w:tr>
        <w:trPr>
          <w:cantSplit/>
        </w:trPr>
        <w:tc>
          <w:tcPr>
            <w:tcW w:type="dxa" w:w="121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動態阻抗</w:t>
            </w:r>
          </w:p>
        </w:tc>
        <w:tc>
          <w:tcPr>
            <w:tcW w:type="dxa" w:w="1106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23–31（線上）</w:t>
            </w:r>
          </w:p>
        </w:tc>
        <w:tc>
          <w:tcPr>
            <w:tcW w:type="dxa" w:w="907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約 96</w:t>
            </w:r>
          </w:p>
        </w:tc>
        <w:tc>
          <w:tcPr>
            <w:tcW w:type="dxa" w:w="850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+1,540</w:t>
            </w:r>
          </w:p>
        </w:tc>
        <w:tc>
          <w:tcPr>
            <w:tcW w:type="dxa" w:w="70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+48</w:t>
            </w:r>
          </w:p>
        </w:tc>
        <w:tc>
          <w:tcPr>
            <w:tcW w:type="dxa" w:w="1332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442／6,525（有事件）</w:t>
            </w:r>
          </w:p>
        </w:tc>
        <w:tc>
          <w:tcPr>
            <w:tcW w:type="dxa" w:w="464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無靜置機會、實驗成本敏感：無須初值、首事件 ≤60 s 重估；線上單獨反推對平坦曲線電芯不可行，宜作低 SOC 端粗校正與老化指標</w:t>
            </w:r>
          </w:p>
        </w:tc>
      </w:tr>
      <w:tr>
        <w:trPr>
          <w:cantSplit/>
        </w:trPr>
        <w:tc>
          <w:tcPr>
            <w:tcW w:type="dxa" w:w="121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三法並行</w:t>
            </w:r>
          </w:p>
        </w:tc>
        <w:tc>
          <w:tcPr>
            <w:tcW w:type="dxa" w:w="1106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—</w:t>
            </w:r>
          </w:p>
        </w:tc>
        <w:tc>
          <w:tcPr>
            <w:tcW w:type="dxa" w:w="907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—</w:t>
            </w:r>
          </w:p>
        </w:tc>
        <w:tc>
          <w:tcPr>
            <w:tcW w:type="dxa" w:w="850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+4,936</w:t>
            </w:r>
          </w:p>
        </w:tc>
        <w:tc>
          <w:tcPr>
            <w:tcW w:type="dxa" w:w="70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+112</w:t>
            </w:r>
          </w:p>
        </w:tc>
        <w:tc>
          <w:tcPr>
            <w:tcW w:type="dxa" w:w="1332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約 22,000</w:t>
            </w:r>
          </w:p>
        </w:tc>
        <w:tc>
          <w:tcPr>
            <w:tcW w:type="dxa" w:w="4649"/>
            <w:tcMar>
              <w:top w:w="12" w:type="dxa"/>
              <w:left w:w="55" w:type="dxa"/>
              <w:bottom w:w="12" w:type="dxa"/>
              <w:right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2"/>
              </w:rPr>
              <w:t>高可靠度、資源充裕：三法互補，峰值僅佔每秒運算預算 0.034%（餘裕逾三個數量級）；整合複雜度最高</w:t>
            </w:r>
          </w:p>
        </w:tc>
      </w:tr>
    </w:tbl>
    <w:p>
      <w:pPr>
        <w:keepNext w:val="0"/>
        <w:spacing w:before="16" w:after="24" w:line="240" w:lineRule="auto"/>
        <w:jc w:val="left"/>
      </w:pPr>
      <w:r>
        <w:rPr>
          <w:rFonts w:ascii="Segoe UI" w:hAnsi="Segoe UI" w:cs="Segoe UI" w:eastAsia="Microsoft JhengHei"/>
          <w:b w:val="0"/>
          <w:i w:val="0"/>
          <w:color w:val="555555"/>
          <w:sz w:val="12"/>
        </w:rPr>
        <w:t>表 2　精度為 Round 41 板端整輪四倍率之範圍（庫倫的恆負偏源自兩條電流量測鏈約 +1.2% 的刻度差，非演算法誤差；動態阻抗離線、假設分枝正確之理想上界為 6–10%）；資源為對共用韌體骨架之差分量測，運算量取 Rounds 40–41 共 159,300 次更新之中位數。</w:t>
      </w:r>
    </w:p>
    <w:p>
      <w:pPr>
        <w:keepNext w:val="0"/>
        <w:spacing w:before="0" w:after="0" w:line="240" w:lineRule="auto"/>
      </w:pPr>
      <w:r>
        <w:rPr>
          <w:rFonts w:ascii="Segoe UI" w:hAnsi="Segoe UI" w:cs="Segoe UI" w:eastAsia="Microsoft JhengHei"/>
          <w:b w:val="0"/>
          <w:i w:val="0"/>
          <w:color w:val="1A1A1A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4" w:space="0" w:color="BFBFBF"/>
          <w:left w:val="none" w:sz="4" w:space="0" w:color="BFBFBF"/>
          <w:bottom w:val="none" w:sz="4" w:space="0" w:color="BFBFBF"/>
          <w:right w:val="none" w:sz="4" w:space="0" w:color="BFBFBF"/>
          <w:insideH w:val="none" w:sz="4" w:space="0" w:color="BFBFBF"/>
          <w:insideV w:val="none" w:sz="4" w:space="0" w:color="BFBFBF"/>
        </w:tblBorders>
      </w:tblPr>
      <w:tblGrid>
        <w:gridCol w:w="10772"/>
      </w:tblGrid>
      <w:tr>
        <w:trPr>
          <w:cantSplit/>
        </w:trPr>
        <w:tc>
          <w:tcPr>
            <w:tcW w:type="dxa" w:w="10772"/>
            <w:shd w:val="clear" w:color="auto" w:fill="EAF0F8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pPr>
              <w:keepNext w:val="0"/>
              <w:spacing w:before="0" w:after="0" w:line="250" w:lineRule="auto"/>
              <w:jc w:val="both"/>
            </w:pPr>
            <w:r>
              <w:rPr>
                <w:rFonts w:ascii="Segoe UI" w:hAnsi="Segoe UI" w:cs="Segoe UI" w:eastAsia="Microsoft JhengHei"/>
                <w:b/>
                <w:i w:val="0"/>
                <w:color w:val="1F3864"/>
                <w:sz w:val="14"/>
              </w:rPr>
              <w:t xml:space="preserve">結論　</w:t>
            </w:r>
            <w:r>
              <w:rPr>
                <w:rFonts w:ascii="Segoe UI" w:hAnsi="Segoe UI" w:cs="Segoe UI" w:eastAsia="Microsoft JhengHei"/>
                <w:b w:val="0"/>
                <w:i w:val="0"/>
                <w:color w:val="1A1A1A"/>
                <w:sz w:val="14"/>
              </w:rPr>
              <w:t>不存在單一最優的 SOC 估測方法，最優選擇取決於硬體資源與應用對初值恢復、靜置機會與實驗成本的要求；本研究並指出演算法的精度上限往往不由演算法決定──量測鏈與辨識域／部署域的一致性，對誤差的貢獻數倍於方法之間的差距。　未來工作：SOH 估測延伸、LFP 遲滯建模、輕量資料驅動融合。</w:t>
            </w:r>
          </w:p>
        </w:tc>
      </w:tr>
    </w:tbl>
    <w:p>
      <w:pPr>
        <w:keepNext w:val="0"/>
        <w:spacing w:before="0" w:after="0" w:line="20" w:lineRule="exact"/>
      </w:pPr>
      <w:r>
        <w:rPr>
          <w:rFonts w:ascii="Segoe UI" w:hAnsi="Segoe UI" w:cs="Segoe UI" w:eastAsia="Microsoft JhengHei"/>
          <w:b w:val="0"/>
          <w:i w:val="0"/>
          <w:color w:val="1A1A1A"/>
          <w:sz w:val="2"/>
        </w:rPr>
      </w:r>
    </w:p>
    <w:sectPr w:rsidR="00FC693F" w:rsidRPr="0006063C" w:rsidSect="00034616">
      <w:pgSz w:w="11906" w:h="16838"/>
      <w:pgMar w:top="397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Jheng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