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汪泽琴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421127199005132527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湖北大学，计算机科学与技术专业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1.负责平安银行2025年非零开发零售开发人力外包需求调研、业务流程梳理及原型说明整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1.负责山西农商智能风险管控平台建设项目需求调研、业务流程梳理及原型说明整理、2.输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1.负责平安银行产品风险及表外监测项目需求调研、业务流程梳理及原型说明整理、2.输出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1.负责平安银行智慧合规及零售开发支持项目需求调研、业务流程梳理及原型说明整理、2.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2020.01-2021.07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平安银行非零开发及零售开发支持项目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1.负责平安银行非零开发及零售开发支持项目需求调研、业务流程梳理及原型说明整理、2.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汪泽琴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湖北大学，计算机科学与技术专业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