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杨金峰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412725199011274395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上海农商银行信用风险集市项目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行内需求分析、文档编写、客户沟通、行内各系统间协调开发及沟通工作信用风险集市项目数据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2021.06-2023.03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兴业银行零售集市项目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1、与业务人员直接对接需求2、在gp数据库加在原始数据、加工清洗出符合业务需求逻辑的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2019.09-2021.06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平安租赁流动性风险管理系统项目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平安租赁流动性风险管理系统项目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1、项目需求和迭代需求沟通、开发、跟进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2017.09-2019.09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渣打银行反洗钱项目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渣打银行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1、业务需求分析及文档编写2、开发逻辑架构设计及编程数据清洗开发3、开发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2015.09-2017.09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上海农商银行管理会计项目ETL系统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1、ETL流程转换、运行维护2、数据建表3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杨金峰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