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负责零售开发需求分析、交易模块优化、接口联调及投产支持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负责风险管控平台需求分析、接口开发、指标配置和联调测试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负责产品风险及表外数据采集、监测规则开发和统计报表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负责合规任务、风险评定、积分管理和驾驶舱模块开发优化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平安银行同业负债管理平台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负责客户信息、交易对手、关联方、EOA和审批链模块开发优化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2021.08-2021.12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平安银行2021年非零开发零售开发人力外包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平安银行2021年非零开发零售开发人力外包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负责交易及监管相关功能开发、规则配置和投产支持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负责交易及监管相关功能开发、规则配置和投产支持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2021.01-2021.07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平安银行2021年1-7月非零开发零售开发人力外包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平安银行2021年1-7月非零开发零售开发人力外包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负责风险报表和批量任务开发，配合测试完成联调与回归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负责风险报表和批量任务开发，配合测试完成联调与回归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2020.01-2020.12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平安银行2020年非零开发及零售开发人力外包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平安银行2020年非零开发及零售开发人力外包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负责零售风险相关模块开发、接口联调、数据处理和缺陷修复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负责零售风险相关模块开发、接口联调、数据处理和缺陷修复</ns0:t>
            </ns0:r>
          </ns0:p>
        </ns0:tc>
      </ns0:tr>
      <ns0:tr>
        <ns0:tc>
          <ns0:tcPr>
            <ns0:tcW ns0:type="dxa" ns0:w="1724"/>
          </ns0:tcPr>
          <ns0:p>
            <ns0:r>
              <ns0:rPr>
                <ns0:rFonts ns0:ascii="仿宋" ns0:hAnsi="仿宋" ns0:eastAsia="仿宋"/>
                <ns0:sz ns0:val="24"/>
              </ns0:rPr>
              <ns0:t>2019.04-2019.12</ns0:t>
            </ns0:r>
          </ns0:p>
        </ns0:tc>
        <ns0:tc>
          <ns0:tcPr>
            <ns0:tcW ns0:type="dxa" ns0:w="1069"/>
          </ns0:tcPr>
          <ns0:p>
            <ns0:r>
              <ns0:rPr>
                <ns0:rFonts ns0:ascii="仿宋" ns0:hAnsi="仿宋" ns0:eastAsia="仿宋"/>
                <ns0:sz ns0:val="24"/>
              </ns0:rPr>
              <ns0:t>大连银行智能风控系统</ns0:t>
            </ns0:r>
          </ns0:p>
        </ns0:tc>
        <ns0:tc>
          <ns0:tcPr>
            <ns0:tcW ns0:type="dxa" ns0:w="890"/>
          </ns0:tcPr>
          <ns0:p>
            <ns0:r>
              <ns0:rPr>
                <ns0:rFonts ns0:ascii="仿宋" ns0:hAnsi="仿宋" ns0:eastAsia="仿宋"/>
                <ns0:sz ns0:val="24"/>
              </ns0:rPr>
              <ns0:t>大连银行智能风控系统</ns0:t>
            </ns0:r>
          </ns0:p>
        </ns0:tc>
        <ns0:tc>
          <ns0:tcPr>
            <ns0:tcW ns0:type="dxa" ns0:w="1222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r>
              <ns0:rPr>
                <ns0:rFonts ns0:ascii="仿宋" ns0:hAnsi="仿宋" ns0:eastAsia="仿宋"/>
                <ns0:sz ns0:val="24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r>
              <ns0:rPr>
                <ns0:rFonts ns0:ascii="仿宋" ns0:hAnsi="仿宋" ns0:eastAsia="仿宋"/>
                <ns0:sz ns0:val="24"/>
              </ns0:rPr>
              <ns0:t>负责风控系统规则配置、预警数据接入、接口联调及上线支持</ns0:t>
            </ns0:r>
          </ns0:p>
        </ns0:tc>
        <ns0:tc>
          <ns0:tcPr>
            <ns0:tcW ns0:type="dxa" ns0:w="2002"/>
          </ns0:tcPr>
          <ns0:p>
            <ns0:r>
              <ns0:rPr>
                <ns0:rFonts ns0:ascii="仿宋" ns0:hAnsi="仿宋" ns0:eastAsia="仿宋"/>
                <ns0:sz ns0:val="24"/>
              </ns0:rPr>
              <ns0:t>负责风控系统规则配置、预警数据接入、接口联调及上线支持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