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陆天成</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eastAsia="仿宋" ns0:cs="仿宋"/>
                <ns0:sz ns0:val="24"/>
                <ns0:szCs ns0:val="24"/>
              </ns0:rPr>
              <ns0:t>1996-02-08</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中级工程师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2019.06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6</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445122199602082711</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风险业务2部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2019年毕业于广东东软学院 网络工程 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0:r>
              <ns0:rPr>
                <ns0:rFonts ns0:ascii="仿宋" ns0:hAnsi="仿宋" ns0:eastAsia="仿宋" ns0:cs="仿宋"/>
                <ns0:sz ns0:val="24"/>
                <ns0:szCs ns0:val="24"/>
              </ns0:rPr>
              <ns0:t>开发岗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软考</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中级</ns0:t>
            </ns0: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2025.08-至今</ns0:t>
            </ns0:r>
          </ns0:p>
        </ns0:tc>
        <ns0:tc>
          <ns0:tcPr>
            <ns0:tcW ns0:w="1186" ns0:type="pct"/>
            <ns0:gridSpan ns0:val="2"/>
            <ns0:vAlign ns0:val="center"/>
          </ns0:tcPr>
          <ns0:p>
            <ns0:r>
              <ns0:rPr>
                <ns0:rFonts ns0:ascii="仿宋" ns0:hAnsi="仿宋" ns0:eastAsia="仿宋" ns0:cs="仿宋"/>
                <ns0:sz ns0:val="24"/>
                <ns0:szCs ns0:val="24"/>
              </ns0:rPr>
              <ns0:t>风险计量模型系统</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负责机构风险收益归因分析模块，福费廷业务会计模块等功能开发</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2025.07-2025.07</ns0:t>
            </ns0:r>
          </ns0:p>
        </ns0:tc>
        <ns0:tc>
          <ns0:tcPr>
            <ns0:tcW ns0:w="1186" ns0:type="pct"/>
            <ns0:gridSpan ns0:val="2"/>
            <ns0:vAlign ns0:val="center"/>
          </ns0:tcPr>
          <ns0:p>
            <ns0:r>
              <ns0:rPr>
                <ns0:rFonts ns0:ascii="仿宋" ns0:hAnsi="仿宋" ns0:eastAsia="仿宋" ns0:cs="仿宋"/>
                <ns0:sz ns0:val="24"/>
                <ns0:szCs ns0:val="24"/>
              </ns0:rPr>
              <ns0:t>平安银行制度系统</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负责制度库模块和批量打标模块等功能开发</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2025.06-2025.06</ns0:t>
            </ns0:r>
          </ns0:p>
        </ns0:tc>
        <ns0:tc>
          <ns0:tcPr>
            <ns0:tcW ns0:w="1186" ns0:type="pct"/>
            <ns0:gridSpan ns0:val="2"/>
            <ns0:vAlign ns0:val="center"/>
          </ns0:tcPr>
          <ns0:p>
            <ns0:r>
              <ns0:rPr>
                <ns0:rFonts ns0:ascii="仿宋" ns0:hAnsi="仿宋" ns0:eastAsia="仿宋" ns0:cs="仿宋"/>
                <ns0:sz ns0:val="24"/>
                <ns0:szCs ns0:val="24"/>
              </ns0:rPr>
              <ns0:t>平安银行法宝答系统</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负责新增在线法律咨询模块，实现了场景选择，常见问题轮播展示等功能开发</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2025.04-2025.05</ns0:t>
            </ns0:r>
          </ns0:p>
        </ns0:tc>
        <ns0:tc>
          <ns0:tcPr>
            <ns0:tcW ns0:w="1186" ns0:type="pct"/>
            <ns0:gridSpan ns0:val="2"/>
            <ns0:vAlign ns0:val="center"/>
          </ns0:tcPr>
          <ns0:p>
            <ns0:r>
              <ns0:rPr>
                <ns0:rFonts ns0:ascii="仿宋" ns0:hAnsi="仿宋" ns0:eastAsia="仿宋" ns0:cs="仿宋"/>
                <ns0:sz ns0:val="24"/>
                <ns0:szCs ns0:val="24"/>
              </ns0:rPr>
              <ns0:t>平安银行合规行管理系统</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负责合规传声站模块和徽章管理模块等功能的后端开发；负责学规任务发布模块和学规任务统计及督办模块等任务发布模块功能的前端开发</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2019.06-2025.02</ns0:t>
            </ns0:r>
          </ns0:p>
        </ns0:tc>
        <ns0:tc>
          <ns0:tcPr>
            <ns0:tcW ns0:w="1186" ns0:type="pct"/>
            <ns0:gridSpan ns0:val="2"/>
            <ns0:vAlign ns0:val="center"/>
          </ns0:tcPr>
          <ns0:p>
            <ns0:r>
              <ns0:rPr>
                <ns0:rFonts ns0:ascii="仿宋" ns0:hAnsi="仿宋" ns0:eastAsia="仿宋" ns0:cs="仿宋"/>
                <ns0:sz ns0:val="24"/>
                <ns0:szCs ns0:val="24"/>
              </ns0:rPr>
              <ns0:t>中富订单微服务平台</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1、完成平台产品、购物车、订单、文件上传、登录注册等服务模块的接口开发；2、借助Nginx反向代理到Gateway，搭建域名访问环境，再通过Gateway转发到相应的微服务；3、使用Seata解决分布式事务问题，对于高并发业务，使用RabbitMQ延时队列做可靠消息保证最终事务一致性，实现订单信息加入延时队列，后续逾期回退并记录；4、使用Redis+lua脚本解决幂等性问题，解决了用户利用浏览器刷新和回退重复提交订单的问题；5、使用Redis进行热点信息缓存，比如购物车信息和登录信息，提高服务器的性能；6、使用SpringCache方法级别缓存技术，实现已经被调用过的指定的目标方法，直接从缓存中获取方法调用后的结果返回，使Redis和Mysql数据保持一致；7、使用CompletableFuture异步编排解决查询产品详情⻚响应速度慢的问题，响应时长由13s减少为64ms；8、整合第三方文件上传服务，如阿里云对象存储，基于服务端签名后直传，保证文件传输的安全性；9、由于产品检索查询缓慢，使用了全文索引技术ElasticSearch，减少了对数据库的查询，使响应时长由16s减少为76ms；10、实现了SpringSession+Redis的单点登录，短信验证码，第三方登录等功能</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2020.02-2025.02</ns0:t>
            </ns0:r>
          </ns0:p>
        </ns0:tc>
        <ns0:tc>
          <ns0:tcPr>
            <ns0:tcW ns0:w="1186" ns0:type="pct"/>
            <ns0:gridSpan ns0:val="2"/>
            <ns0:vAlign ns0:val="center"/>
          </ns0:tcPr>
          <ns0:p>
            <ns0:r>
              <ns0:rPr>
                <ns0:rFonts ns0:ascii="仿宋" ns0:hAnsi="仿宋" ns0:eastAsia="仿宋" ns0:cs="仿宋"/>
                <ns0:sz ns0:val="24"/>
                <ns0:szCs ns0:val="24"/>
              </ns0:rPr>
              <ns0:t>中富云平台</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1、基于的认证授权机制JWT，通过对登录用户颁发登录凭证，实现登录模块认证授权功能，由于JWT无法进行续期，采用Redis进行存储续期；2、通过添加Quartz分布式定时任务解决集群多次执行问题，定时同步第三方接口和本系统的库存数据，解决数据不一致问题；3、出库后锁定库存，将库存信息加入RabbitMQ的延时队列，实现未确定出货，超过规定时间后，解锁库存并做超期记录；4、为了和第三方接口对接，使用HTTP或WebSocket，实现获取或发送第三方数据，例如驱动第三方智能小车完成产品的出库；5、使用Grid++Report对出货的产品标签进行打印，由于客户过多获取各客户标签数据代码过长，采用了策略，工厂，模板方法对代码进行了优化，使代码耦合度降低并可扩展新客户标签；6、采用Minio分布式文件系统，存储和下载平台图片和文件，实现了高可用性、可靠性和高性能的数据存储，同时有效避免了单点故障和数据丢失问题；7、使用ShardingJDBC实现数据库读写分离，有效降低数据库压力，实现数据的高可用性；8、使用Nginx进行反向代理，前端通过请求转发访问本地静态资源，后端通过负载均衡请求转发到三个服务器，降低服务器访问压力和提升了获取静态资源的速度；9、将传统的单体应用程序迁移到Docker容器中，以提高应用程序的可伸缩性和部署效率</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