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刘金强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511025198712096173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风险业务4部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2011年毕业于成都大学 软件工程专业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平安银行2025年非零开发零售开发人力外包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2025年非零开发零售开发人力外包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2024.06-2024.12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山西农商智能风险管控平台建设项目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山西农商智能风险管控平台建设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2023.11-2024.05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产品风险及表外监测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平安银行智慧合规及零售开发支持项目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智慧合规及零售开发支持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2020.01-2021.07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平安银行非零开发及零售开发支持项目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非零开发及零售开发支持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2014.11-2015.03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平安银行实时交易展示平台（Blaze决策引擎）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系统架构设计、需求分析设计、核心代码开发、Blaze决策引擎的实施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2014.07-2014.11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平安银行事件营销项目一期（Blaze决策引擎）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系统功能模块分析设计、Blaze决策引擎模板开发及规则配置，引擎调度模块开发、测试、项目文档编写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2012.06-2014.07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宇龙集团EFS电子财务系统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系统功能模块分析设计、核心模块代码开发、测试、项目文档编写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2012.01-2012.06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福之乐超市管理系统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系统功能模块分析设计、功能模块开发、测试、项目文档编写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2011.06-2012.01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工资管理平台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系统功能模块分析设计、功能模块开发、测试、项目文档编写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