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0" w:name="content"/>
    <w:bookmarkStart w:id="29" w:name="migration-checklist-bgesmallenv1.5-bgem3"/>
    <w:p>
      <w:pPr>
        <w:pStyle w:val="Heading2"/>
      </w:pPr>
      <w:r>
        <w:t xml:space="preserve">Migration Checklist: BGE‑small‑en‑v1.5 → BGE‑M3</w:t>
      </w:r>
    </w:p>
    <w:p>
      <w:pPr>
        <w:pStyle w:val="FirstParagraph"/>
      </w:pPr>
      <w:r>
        <w:t xml:space="preserve">This checklist helps plan an upgrade from</w:t>
      </w:r>
      <w:r>
        <w:t xml:space="preserve"> </w:t>
      </w:r>
      <w:r>
        <w:rPr>
          <w:b/>
          <w:bCs/>
        </w:rPr>
        <w:t xml:space="preserve">BGE‑small‑en‑v1.5</w:t>
      </w:r>
      <w:r>
        <w:t xml:space="preserve"> </w:t>
      </w:r>
      <w:r>
        <w:t xml:space="preserve">(English‑only, 384‑dimensional embeddings) to</w:t>
      </w:r>
      <w:r>
        <w:t xml:space="preserve"> </w:t>
      </w:r>
      <w:r>
        <w:rPr>
          <w:b/>
          <w:bCs/>
        </w:rPr>
        <w:t xml:space="preserve">BGE‑M3</w:t>
      </w:r>
      <w:r>
        <w:t xml:space="preserve"> </w:t>
      </w:r>
      <w:r>
        <w:t xml:space="preserve">(multilingual, 1024‑dimensional, multi‑function). Use it to evaluate readiness, execute the migration and validate the resulting system.</w:t>
      </w:r>
    </w:p>
    <w:bookmarkStart w:id="23" w:name="premigration-assessment"/>
    <w:p>
      <w:pPr>
        <w:pStyle w:val="Heading3"/>
      </w:pPr>
      <w:r>
        <w:t xml:space="preserve">Pre‑Migration Assessment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Clarify objectives</w:t>
      </w:r>
      <w:r>
        <w:br/>
      </w:r>
      <w:r>
        <w:t xml:space="preserve">• Identify why you need BGE‑M3: multi‑lingual retrieval, long document support up to 8 192 tokens or hybrid retrieval (dense + sparse + multi‑vector)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  <w:r>
        <w:br/>
      </w:r>
      <w:r>
        <w:t xml:space="preserve">• Define success metrics (e.g., recall on your dataset, latency, memory footprint).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Compatibility &amp; limitations</w:t>
      </w:r>
      <w:r>
        <w:br/>
      </w:r>
      <w:r>
        <w:t xml:space="preserve">• Confirm that your vector database (Pinecone, Milvus, etc.) supports 1 024‑dimension vectors; some services impose dimensionality limits or cost adjustments.</w:t>
      </w:r>
      <w:r>
        <w:br/>
      </w:r>
      <w:r>
        <w:t xml:space="preserve">• BGE‑M3 outputs a 1 024‑dimensional dense vector by default</w:t>
      </w:r>
      <w:hyperlink r:id="rId21">
        <w:r>
          <w:rPr>
            <w:rStyle w:val="Hyperlink"/>
          </w:rPr>
          <w:t xml:space="preserve">[1]</w:t>
        </w:r>
      </w:hyperlink>
      <w:r>
        <w:t xml:space="preserve">; this increases per‑vector storage ~2.7× compared with 384 dimensions.</w:t>
      </w:r>
      <w:r>
        <w:br/>
      </w:r>
      <w:r>
        <w:t xml:space="preserve">• If you plan to use multi‑vector or sparse retrieval, ensure your infrastructure can store additional vectors and lexical weights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  <w:r>
        <w:br/>
      </w:r>
      <w:r>
        <w:t xml:space="preserve">• Remove hard‑coded query instructions; BGE‑M3 does not require adding prompts like “Represent this query for retrieval.”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Resource estimation</w:t>
      </w:r>
      <w:r>
        <w:br/>
      </w:r>
      <w:r>
        <w:t xml:space="preserve">• Recalculate storage costs: each 1 024‑dimensional vector occupies 4 KB (4 bytes × 1 024) plus metadata; multiply by the number of documents to estimate GB consumption.</w:t>
      </w:r>
      <w:r>
        <w:br/>
      </w:r>
      <w:r>
        <w:t xml:space="preserve">• Estimate index rebuild time: larger vectors and more retrieval modes require longer computation; consider encoding documents offline.</w:t>
      </w:r>
      <w:r>
        <w:br/>
      </w:r>
      <w:r>
        <w:t xml:space="preserve">• Budget for increased read units (RU) and storage cost in your vector database.</w:t>
      </w:r>
    </w:p>
    <w:bookmarkEnd w:id="23"/>
    <w:bookmarkStart w:id="28" w:name="migration-steps"/>
    <w:p>
      <w:pPr>
        <w:pStyle w:val="Heading3"/>
      </w:pPr>
      <w:r>
        <w:t xml:space="preserve">Migration Steps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Update dependencies</w:t>
      </w:r>
      <w:r>
        <w:br/>
      </w:r>
      <w:r>
        <w:t xml:space="preserve">• Upgrade the</w:t>
      </w:r>
      <w:r>
        <w:t xml:space="preserve"> </w:t>
      </w:r>
      <w:r>
        <w:rPr>
          <w:rStyle w:val="VerbatimChar"/>
        </w:rPr>
        <w:t xml:space="preserve">FlagEmbedding</w:t>
      </w:r>
      <w:r>
        <w:t xml:space="preserve"> </w:t>
      </w:r>
      <w:r>
        <w:t xml:space="preserve">or Hugging Face packages to include BGE‑M3.</w:t>
      </w:r>
      <w:r>
        <w:br/>
      </w:r>
      <w:r>
        <w:t xml:space="preserve">• Test GPU/CPU compatibility; BGE‑M3 may require more memory.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Re‑encode content</w:t>
      </w:r>
      <w:r>
        <w:br/>
      </w:r>
      <w:r>
        <w:t xml:space="preserve">• Recompute embeddings for all existing documents using</w:t>
      </w:r>
      <w:r>
        <w:t xml:space="preserve"> </w:t>
      </w:r>
      <w:r>
        <w:rPr>
          <w:rStyle w:val="VerbatimChar"/>
        </w:rPr>
        <w:t xml:space="preserve">BGEM3FlagModel('BAAI/bge-m3')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  <w:r>
        <w:br/>
      </w:r>
      <w:r>
        <w:t xml:space="preserve">• For hybrid retrieval, also compute sparse weights and optional ColBERT multi‑vectors as needed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  <w:r>
        <w:br/>
      </w:r>
      <w:r>
        <w:t xml:space="preserve">• For each document, store the dense vector, optional sparse weights and/or multiple ColBERT vectors in your database.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Rebuild index</w:t>
      </w:r>
      <w:r>
        <w:br/>
      </w:r>
      <w:r>
        <w:t xml:space="preserve">• Create a new index/table with dimension = 1 024 and load the new vectors.</w:t>
      </w:r>
      <w:r>
        <w:br/>
      </w:r>
      <w:r>
        <w:t xml:space="preserve">• If using multi‑vector retrieval, configure the index to store multiple embeddings per document and adjust your similarity search accordingly.</w:t>
      </w:r>
      <w:r>
        <w:br/>
      </w:r>
      <w:r>
        <w:t xml:space="preserve">• For sparse retrieval, integrate lexical weights into your search engine or use a hybrid engine such as Vespa or Milvus as recommended</w:t>
      </w:r>
      <w:hyperlink r:id="rId26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Update query pipeline</w:t>
      </w:r>
      <w:r>
        <w:br/>
      </w:r>
      <w:r>
        <w:t xml:space="preserve">• Remove query instruction text; BGE‑M3 queries are processed directly.</w:t>
      </w:r>
      <w:r>
        <w:br/>
      </w:r>
      <w:r>
        <w:t xml:space="preserve">• Decide whether to use dense, sparse or hybrid retrieval. For hybrid, combine dense similarity with lexical matching scores.</w:t>
      </w:r>
      <w:r>
        <w:br/>
      </w:r>
      <w:r>
        <w:t xml:space="preserve">• Adjust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(top‑k) and post‑processing as needed to accommodate potential recall differences.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Testing &amp; validation</w:t>
      </w:r>
      <w:r>
        <w:br/>
      </w:r>
      <w:r>
        <w:t xml:space="preserve">• Run benchmark queries in English and other target languages to verify improved recall/precision.</w:t>
      </w:r>
      <w:r>
        <w:br/>
      </w:r>
      <w:r>
        <w:t xml:space="preserve">• Compare results using dense‑only vs hybrid retrieval; measure latency.</w:t>
      </w:r>
      <w:r>
        <w:br/>
      </w:r>
      <w:r>
        <w:t xml:space="preserve">• Validate long‑document retrieval by querying documents &gt;512 tokens (up to 8 192 tokens</w:t>
      </w:r>
      <w:hyperlink r:id="rId21">
        <w:r>
          <w:rPr>
            <w:rStyle w:val="Hyperlink"/>
          </w:rPr>
          <w:t xml:space="preserve">[1]</w:t>
        </w:r>
      </w:hyperlink>
      <w:r>
        <w:t xml:space="preserve">).</w:t>
      </w:r>
      <w:r>
        <w:br/>
      </w:r>
      <w:r>
        <w:t xml:space="preserve">• Monitor vector database usage (RUs, storage) to identify cost impacts.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Rollout</w:t>
      </w:r>
      <w:r>
        <w:br/>
      </w:r>
      <w:r>
        <w:t xml:space="preserve">• Deploy the new index alongside the old one to allow back‑testing.</w:t>
      </w:r>
      <w:r>
        <w:br/>
      </w:r>
      <w:r>
        <w:t xml:space="preserve">• Update client applications to use the new embedding dimension and retrieval method.</w:t>
      </w:r>
      <w:r>
        <w:br/>
      </w:r>
      <w:r>
        <w:t xml:space="preserve">• Gradually route traffic to the new system while monitoring performance and quality.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Post‑Migration clean up</w:t>
      </w:r>
      <w:r>
        <w:br/>
      </w:r>
      <w:r>
        <w:t xml:space="preserve">• After validating improved performance, deprecate the old index to reduce costs.</w:t>
      </w:r>
      <w:r>
        <w:br/>
      </w:r>
      <w:r>
        <w:t xml:space="preserve">• Document the migration process and update operational playbooks.</w:t>
      </w:r>
      <w:r>
        <w:br/>
      </w:r>
      <w:r>
        <w:t xml:space="preserve">• Consider fine‑tuning BGE‑M3 on domain‑specific data if further gains are needed</w:t>
      </w:r>
      <w:hyperlink r:id="rId27">
        <w:r>
          <w:rPr>
            <w:rStyle w:val="Hyperlink"/>
          </w:rPr>
          <w:t xml:space="preserve">[6]</w:t>
        </w:r>
      </w:hyperlink>
      <w:r>
        <w:t xml:space="preserve">.</w:t>
      </w:r>
    </w:p>
    <w:bookmarkEnd w:id="28"/>
    <w:bookmarkEnd w:id="29"/>
    <w:bookmarkEnd w:id="30"/>
    <w:p>
      <w:r>
        <w:pict>
          <v:rect style="width:0;height:1.5pt" o:hralign="center" o:hrstd="t" o:hr="t"/>
        </w:pict>
      </w:r>
    </w:p>
    <w:bookmarkStart w:id="33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BAAI/bge-m3 · Hugging Face</w:t>
      </w:r>
    </w:p>
    <w:p>
      <w:pPr>
        <w:pStyle w:val="BodyText"/>
      </w:pPr>
      <w:hyperlink r:id="rId31">
        <w:r>
          <w:rPr>
            <w:rStyle w:val="Hyperlink"/>
          </w:rPr>
          <w:t xml:space="preserve">https://huggingface.co/BAAI/bge-m3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BGE M3-Embedding: Multi-Lingual, Multi-Functionality, Multi-Granularity Text Embeddings Through Self-Knowledge Distillation</w:t>
      </w:r>
    </w:p>
    <w:p>
      <w:pPr>
        <w:pStyle w:val="BodyText"/>
      </w:pPr>
      <w:hyperlink r:id="rId32">
        <w:r>
          <w:rPr>
            <w:rStyle w:val="Hyperlink"/>
          </w:rPr>
          <w:t xml:space="preserve">https://arxiv.org/html/2402.03216v3</w:t>
        </w:r>
      </w:hyperlink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html/2402.03216v3" TargetMode="External" /><Relationship Type="http://schemas.openxmlformats.org/officeDocument/2006/relationships/hyperlink" Id="rId27" Target="https://arxiv.org/html/2402.03216v3#:~:text=training%20of%20M3,The%20model" TargetMode="External" /><Relationship Type="http://schemas.openxmlformats.org/officeDocument/2006/relationships/hyperlink" Id="rId31" Target="https://huggingface.co/BAAI/bge-m3" TargetMode="External" /><Relationship Type="http://schemas.openxmlformats.org/officeDocument/2006/relationships/hyperlink" Id="rId25" Target="https://huggingface.co/BAAI/bge-m3#:~:text=" TargetMode="External" /><Relationship Type="http://schemas.openxmlformats.org/officeDocument/2006/relationships/hyperlink" Id="rId22" Target="https://huggingface.co/BAAI/bge-m3#:~:text=,g" TargetMode="External" /><Relationship Type="http://schemas.openxmlformats.org/officeDocument/2006/relationships/hyperlink" Id="rId26" Target="https://huggingface.co/BAAI/bge-m3#:~:text=,refer%20to%20Vespa%20and%20Milvus" TargetMode="External" /><Relationship Type="http://schemas.openxmlformats.org/officeDocument/2006/relationships/hyperlink" Id="rId24" Target="https://huggingface.co/BAAI/bge-m3#:~:text=Generate%20Embedding%20for%20text" TargetMode="External" /><Relationship Type="http://schemas.openxmlformats.org/officeDocument/2006/relationships/hyperlink" Id="rId21" Target="https://huggingface.co/BAAI/bge-m3#:~:text=Spe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html/2402.03216v3" TargetMode="External" /><Relationship Type="http://schemas.openxmlformats.org/officeDocument/2006/relationships/hyperlink" Id="rId27" Target="https://arxiv.org/html/2402.03216v3#:~:text=training%20of%20M3,The%20model" TargetMode="External" /><Relationship Type="http://schemas.openxmlformats.org/officeDocument/2006/relationships/hyperlink" Id="rId31" Target="https://huggingface.co/BAAI/bge-m3" TargetMode="External" /><Relationship Type="http://schemas.openxmlformats.org/officeDocument/2006/relationships/hyperlink" Id="rId25" Target="https://huggingface.co/BAAI/bge-m3#:~:text=" TargetMode="External" /><Relationship Type="http://schemas.openxmlformats.org/officeDocument/2006/relationships/hyperlink" Id="rId22" Target="https://huggingface.co/BAAI/bge-m3#:~:text=,g" TargetMode="External" /><Relationship Type="http://schemas.openxmlformats.org/officeDocument/2006/relationships/hyperlink" Id="rId26" Target="https://huggingface.co/BAAI/bge-m3#:~:text=,refer%20to%20Vespa%20and%20Milvus" TargetMode="External" /><Relationship Type="http://schemas.openxmlformats.org/officeDocument/2006/relationships/hyperlink" Id="rId24" Target="https://huggingface.co/BAAI/bge-m3#:~:text=Generate%20Embedding%20for%20text" TargetMode="External" /><Relationship Type="http://schemas.openxmlformats.org/officeDocument/2006/relationships/hyperlink" Id="rId21" Target="https://huggingface.co/BAAI/bge-m3#:~:text=Spe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2025-08-29T15:47:05Z</dcterms:created>
  <dcterms:modified xsi:type="dcterms:W3CDTF">2025-08-29T15:47:05Z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