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5" w:name="content"/>
    <w:bookmarkStart w:id="24" w:name="messaging-redlines"/>
    <w:p>
      <w:pPr>
        <w:pStyle w:val="Heading2"/>
      </w:pPr>
      <w:r>
        <w:t xml:space="preserve">Messaging Redlines</w:t>
      </w:r>
    </w:p>
    <w:p>
      <w:pPr>
        <w:pStyle w:val="FirstParagraph"/>
      </w:pPr>
      <w:r>
        <w:t xml:space="preserve">This document highlights superlative or exclusivity claims in the foundation copy and proposes revised wording. Each change is justified either by a published source or marked as</w:t>
      </w:r>
      <w:r>
        <w:t xml:space="preserve"> </w:t>
      </w:r>
      <w:r>
        <w:rPr>
          <w:b/>
          <w:bCs/>
        </w:rPr>
        <w:t xml:space="preserve">[Unverified]</w:t>
      </w:r>
      <w:r>
        <w:t xml:space="preserve"> </w:t>
      </w:r>
      <w:r>
        <w:t xml:space="preserve">when no source is available.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Before (Original Statement)</w:t>
            </w:r>
          </w:p>
        </w:tc>
        <w:tc>
          <w:tcPr/>
          <w:p>
            <w:pPr>
              <w:pStyle w:val="Compact"/>
            </w:pPr>
            <w:r>
              <w:t xml:space="preserve">After (Revised Statement)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“First personal RAG system implementing Dense X Retrieval insights for surgical precision in fact extraction and citation.”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“A personal RAG system implementing Dense X Retrieval insights to achieve more precise fact extraction and citation.”</w:t>
            </w:r>
          </w:p>
        </w:tc>
        <w:tc>
          <w:tcPr/>
          <w:p>
            <w:pPr>
              <w:pStyle w:val="Compact"/>
            </w:pPr>
            <w:r>
              <w:t xml:space="preserve">The claim of being the</w:t>
            </w:r>
            <w:r>
              <w:t xml:space="preserve"> </w:t>
            </w:r>
            <w:r>
              <w:rPr>
                <w:i/>
                <w:iCs/>
              </w:rPr>
              <w:t xml:space="preserve">first</w:t>
            </w:r>
            <w:r>
              <w:t xml:space="preserve"> </w:t>
            </w:r>
            <w:r>
              <w:t xml:space="preserve">cannot be substantiated; the revision removes exclusivity and focuses on the capability.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“10.1% improvement over traditional chunking confirmed by 2025 research.”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“An academic study reported that proposition‑level retrieval improved recall@20 by +10.1 points for unsupervised dense retrievers and +2.2 points for supervised retrievers over passage retrieval</w:t>
            </w:r>
            <w:hyperlink r:id="rId21">
              <w:r>
                <w:rPr>
                  <w:rStyle w:val="Hyperlink"/>
                  <w:b/>
                  <w:bCs/>
                </w:rPr>
                <w:t xml:space="preserve">[1]</w:t>
              </w:r>
            </w:hyperlink>
            <w:r>
              <w:rPr>
                <w:b/>
                <w:bCs/>
              </w:rPr>
              <w:t xml:space="preserve">.”</w:t>
            </w:r>
          </w:p>
        </w:tc>
        <w:tc>
          <w:tcPr/>
          <w:p>
            <w:pPr>
              <w:pStyle w:val="Compact"/>
            </w:pPr>
            <w:r>
              <w:t xml:space="preserve">The revision ties the improvement figure directly to the cited research and clarifies that it is recall@20 rather than a percentage of overall performance.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“12–18 month lead in propositional RAG adoption.”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“We anticipate an early‑mover advantage while adoption of propositional RAG remains nascent [Unverified].”</w:t>
            </w:r>
          </w:p>
        </w:tc>
        <w:tc>
          <w:tcPr/>
          <w:p>
            <w:pPr>
              <w:pStyle w:val="Compact"/>
            </w:pPr>
            <w:r>
              <w:t xml:space="preserve">There is no evidence confirming a 12–18 month lead; the revised text uses “early‑mover” language and marks the timeframe as unverified.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“Only personal system with proposition‑level citations and exact span attribution.”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“A personal system designed to deliver proposition‑level citations with exact span attribution; such capabilities are uncommon among consumer RAG products [Unverified].”</w:t>
            </w:r>
          </w:p>
        </w:tc>
        <w:tc>
          <w:tcPr/>
          <w:p>
            <w:pPr>
              <w:pStyle w:val="Compact"/>
            </w:pPr>
            <w:r>
              <w:t xml:space="preserve">The exclusivity claim (“only”) is replaced with a more defensible statement noting that similar features are uncommon; absence of comprehensive market data is marked as unverified.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“Breakthrough architecture, sublinear scaling” (referring to Pinecone).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“Pinecone’s serverless architecture offers sublinear read‑cost scaling according to their documentation</w:t>
            </w:r>
            <w:hyperlink r:id="rId22">
              <w:r>
                <w:rPr>
                  <w:rStyle w:val="Hyperlink"/>
                  <w:b/>
                  <w:bCs/>
                </w:rPr>
                <w:t xml:space="preserve">[2]</w:t>
              </w:r>
            </w:hyperlink>
            <w:r>
              <w:rPr>
                <w:b/>
                <w:bCs/>
              </w:rPr>
              <w:t xml:space="preserve">.”</w:t>
            </w:r>
          </w:p>
        </w:tc>
        <w:tc>
          <w:tcPr/>
          <w:p>
            <w:pPr>
              <w:pStyle w:val="Compact"/>
            </w:pPr>
            <w:r>
              <w:t xml:space="preserve">Rather than calling the architecture a “breakthrough,” the revision cites Pinecone’s claim about sublinear cost scaling, referencing the source.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“&lt;$200/month at scale vs $2000+ for commercial solutions.”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“Scenario‑based cost modelling suggests that monthly operating costs could be around $100–$200 for a solo researcher, while some enterprise tools may cost thousands of dollars per month</w:t>
            </w:r>
            <w:hyperlink r:id="rId22">
              <w:r>
                <w:rPr>
                  <w:rStyle w:val="Hyperlink"/>
                  <w:b/>
                  <w:bCs/>
                </w:rPr>
                <w:t xml:space="preserve">[2]</w:t>
              </w:r>
            </w:hyperlink>
            <w:r>
              <w:rPr>
                <w:b/>
                <w:bCs/>
              </w:rPr>
              <w:t xml:space="preserve"> [Unverified].”</w:t>
            </w:r>
          </w:p>
        </w:tc>
        <w:tc>
          <w:tcPr/>
          <w:p>
            <w:pPr>
              <w:pStyle w:val="Compact"/>
            </w:pPr>
            <w:r>
              <w:t xml:space="preserve">The blanket assertion of costs is softened to reflect a range derived from the cost model; the high end is flagged as unverified because comprehensive pricing data is lacking.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“80% reduction in fact verification time, measurable productivity gains.”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“We hypothesise that automatically linking citations could significantly reduce fact‑verification time and improve productivity [Unverified].”</w:t>
            </w:r>
          </w:p>
        </w:tc>
        <w:tc>
          <w:tcPr/>
          <w:p>
            <w:pPr>
              <w:pStyle w:val="Compact"/>
            </w:pPr>
            <w:r>
              <w:t xml:space="preserve">There is no source for the 80% figure, so the revision frames it as a hypothesis and removes the quantified claim.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“6–8 weeks personal time vs 6+ months enterprise implementations.”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“We estimate that an individual developer could build a proof‑of‑concept in roughly 6–8 weeks, whereas enterprise deployments often take several months [Unverified].”</w:t>
            </w:r>
          </w:p>
        </w:tc>
        <w:tc>
          <w:tcPr/>
          <w:p>
            <w:pPr>
              <w:pStyle w:val="Compact"/>
            </w:pPr>
            <w:r>
              <w:t xml:space="preserve">The revised wording presents this as an estimate rather than a definitive comparison and marks it unverified.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“First‑Mover: Personal implementation of Dense X Retrieval insights.”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“Positioned as an early adopter of Dense X Retrieval insights for personal applications.”</w:t>
            </w:r>
          </w:p>
        </w:tc>
        <w:tc>
          <w:tcPr/>
          <w:p>
            <w:pPr>
              <w:pStyle w:val="Compact"/>
            </w:pPr>
            <w:r>
              <w:t xml:space="preserve">Replaces the exclusivity of “first” with “early adopter,” which better reflects the uncertainty of the competitive landscape.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“Quality innovation: Citation precision impossible with traditional RAG approaches.”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“Proposition‑level retrieval improves citation precision relative to traditional passage‑level RAG, which often produces vague citations</w:t>
            </w:r>
            <w:hyperlink r:id="rId21">
              <w:r>
                <w:rPr>
                  <w:rStyle w:val="Hyperlink"/>
                  <w:b/>
                  <w:bCs/>
                </w:rPr>
                <w:t xml:space="preserve">[1]</w:t>
              </w:r>
            </w:hyperlink>
            <w:r>
              <w:rPr>
                <w:b/>
                <w:bCs/>
              </w:rPr>
              <w:t xml:space="preserve">.”</w:t>
            </w:r>
          </w:p>
        </w:tc>
        <w:tc>
          <w:tcPr/>
          <w:p>
            <w:pPr>
              <w:pStyle w:val="Compact"/>
            </w:pPr>
            <w:r>
              <w:t xml:space="preserve">The revision removes the absolute “impossible” claim and ties the improvement to research findings.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“Clear path to $50–200/month SaaS offering.”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“Benchmarking of adjacent research tools suggests potential pricing tiers around $50–$200 per user per month</w:t>
            </w:r>
            <w:hyperlink r:id="rId23">
              <w:r>
                <w:rPr>
                  <w:rStyle w:val="Hyperlink"/>
                  <w:b/>
                  <w:bCs/>
                </w:rPr>
                <w:t xml:space="preserve">[3]</w:t>
              </w:r>
            </w:hyperlink>
            <w:r>
              <w:rPr>
                <w:b/>
                <w:bCs/>
              </w:rPr>
              <w:t xml:space="preserve">.”</w:t>
            </w:r>
          </w:p>
        </w:tc>
        <w:tc>
          <w:tcPr/>
          <w:p>
            <w:pPr>
              <w:pStyle w:val="Compact"/>
            </w:pPr>
            <w:r>
              <w:t xml:space="preserve">The revised statement grounds the pricing range in comparable market benchmarks rather than asserting a “clear path.”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“First personal propositional RAG with 12–18 month lead.”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“An early personal RAG system using proposition‑level indexing during the initial adoption period [Unverified].”</w:t>
            </w:r>
          </w:p>
        </w:tc>
        <w:tc>
          <w:tcPr/>
          <w:p>
            <w:pPr>
              <w:pStyle w:val="Compact"/>
            </w:pPr>
            <w:r>
              <w:t xml:space="preserve">Removes the unverified “first” and “12–18 month lead,” replacing them with general early‑adopter language.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“Citation precision impossible with traditional RAG approaches.”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“Traditional passage‑level RAG often produces vague citations; proposition‑level indexing aims to provide more focused citations</w:t>
            </w:r>
            <w:hyperlink r:id="rId21">
              <w:r>
                <w:rPr>
                  <w:rStyle w:val="Hyperlink"/>
                  <w:b/>
                  <w:bCs/>
                </w:rPr>
                <w:t xml:space="preserve">[1]</w:t>
              </w:r>
            </w:hyperlink>
            <w:r>
              <w:rPr>
                <w:b/>
                <w:bCs/>
              </w:rPr>
              <w:t xml:space="preserve">.”</w:t>
            </w:r>
          </w:p>
        </w:tc>
        <w:tc>
          <w:tcPr/>
          <w:p>
            <w:pPr>
              <w:pStyle w:val="Compact"/>
            </w:pPr>
            <w:r>
              <w:t xml:space="preserve">Eliminates the absolute “impossible” assertion and anchors the claim in research evidence.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p>
      <w:r>
        <w:pict>
          <v:rect style="width:0;height:1.5pt" o:hralign="center" o:hrstd="t" o:hr="t"/>
        </w:pict>
      </w:r>
    </w:p>
    <w:bookmarkStart w:id="29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Dense Retrieval: What Retrieval Granularity Should We Use?</w:t>
      </w:r>
    </w:p>
    <w:p>
      <w:pPr>
        <w:pStyle w:val="BodyText"/>
      </w:pPr>
      <w:hyperlink r:id="rId26">
        <w:r>
          <w:rPr>
            <w:rStyle w:val="Hyperlink"/>
          </w:rPr>
          <w:t xml:space="preserve">https://arxiv.org/html/2312.06648v2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Manage Serverless Costs with Read Units | Pinecone</w:t>
      </w:r>
    </w:p>
    <w:p>
      <w:pPr>
        <w:pStyle w:val="BodyText"/>
      </w:pPr>
      <w:hyperlink r:id="rId27">
        <w:r>
          <w:rPr>
            <w:rStyle w:val="Hyperlink"/>
          </w:rPr>
          <w:t xml:space="preserve">https://www.pinecone.io/learn/read-units/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Elicit: The AI Research Assistant</w:t>
      </w:r>
    </w:p>
    <w:p>
      <w:pPr>
        <w:pStyle w:val="BodyText"/>
      </w:pPr>
      <w:hyperlink r:id="rId28">
        <w:r>
          <w:rPr>
            <w:rStyle w:val="Hyperlink"/>
          </w:rPr>
          <w:t xml:space="preserve">https://elicit.com/</w:t>
        </w:r>
      </w:hyperlink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arxiv.org/html/2312.06648v2" TargetMode="External" /><Relationship Type="http://schemas.openxmlformats.org/officeDocument/2006/relationships/hyperlink" Id="rId21" Target="https://arxiv.org/html/2312.06648v2#:~:text=Wikipedia%20is%20indexed%20by%20passage%2C,provide%20a%20higher%20density%20of" TargetMode="External" /><Relationship Type="http://schemas.openxmlformats.org/officeDocument/2006/relationships/hyperlink" Id="rId28" Target="https://elicit.com/" TargetMode="External" /><Relationship Type="http://schemas.openxmlformats.org/officeDocument/2006/relationships/hyperlink" Id="rId23" Target="https://elicit.com/#:~:text=Monthly" TargetMode="External" /><Relationship Type="http://schemas.openxmlformats.org/officeDocument/2006/relationships/hyperlink" Id="rId27" Target="https://www.pinecone.io/learn/read-units/" TargetMode="External" /><Relationship Type="http://schemas.openxmlformats.org/officeDocument/2006/relationships/hyperlink" Id="rId22" Target="https://www.pinecone.io/learn/read-units/#:~:text=To%20project%20future%20overall%20costs%2C,use%20our%20cost%20calcul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rxiv.org/html/2312.06648v2" TargetMode="External" /><Relationship Type="http://schemas.openxmlformats.org/officeDocument/2006/relationships/hyperlink" Id="rId21" Target="https://arxiv.org/html/2312.06648v2#:~:text=Wikipedia%20is%20indexed%20by%20passage%2C,provide%20a%20higher%20density%20of" TargetMode="External" /><Relationship Type="http://schemas.openxmlformats.org/officeDocument/2006/relationships/hyperlink" Id="rId28" Target="https://elicit.com/" TargetMode="External" /><Relationship Type="http://schemas.openxmlformats.org/officeDocument/2006/relationships/hyperlink" Id="rId23" Target="https://elicit.com/#:~:text=Monthly" TargetMode="External" /><Relationship Type="http://schemas.openxmlformats.org/officeDocument/2006/relationships/hyperlink" Id="rId27" Target="https://www.pinecone.io/learn/read-units/" TargetMode="External" /><Relationship Type="http://schemas.openxmlformats.org/officeDocument/2006/relationships/hyperlink" Id="rId22" Target="https://www.pinecone.io/learn/read-units/#:~:text=To%20project%20future%20overall%20costs%2C,use%20our%20cost%20calcul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2025-08-29T15:54:32Z</dcterms:created>
  <dcterms:modified xsi:type="dcterms:W3CDTF">2025-08-29T15:54:32Z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