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(a)计算标准差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library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(ISLR)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model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glm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(default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~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income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balance,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Default,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family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binomial)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summary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(model)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coefficients[,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"Std. Error"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])</w:t>
      </w:r>
    </w:p>
    <w:p>
      <w:r>
        <w:drawing>
          <wp:inline distT="0" distB="0" distL="114300" distR="114300">
            <wp:extent cx="4381500" cy="457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(Intercept): 截距项的标准误为 0.4348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income: 收入变量系数的标准误为 0.00000499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balance: 余额变量系数的标准误为 0.000227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​(b) 编写boot.fn()函数​​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61AFEF"/>
          <w:kern w:val="0"/>
          <w:sz w:val="20"/>
          <w:szCs w:val="20"/>
          <w:shd w:val="clear" w:fill="16191D"/>
          <w:lang w:val="en-US" w:eastAsia="zh-CN" w:bidi="ar"/>
        </w:rPr>
        <w:t>boot.fn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(data, index) {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subset_data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data[index, ]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根据序号筛选子集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fit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glm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(default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~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income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balance,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subset_data,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family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binomial)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coef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(fit)[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"income"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"balance"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)])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返回目标变量的系数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​(c) 用boot()计算自助法标准误差​​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set.seed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123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设置随机种子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library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(boot)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boot_result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boot(Default, boot.fn,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R为自助样本量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boot_result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std.error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提取自助法估计的标准误差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(boot_result)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2748280"/>
            <wp:effectExtent l="0" t="0" r="1079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original: 原始样本估计值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income 系数: 2.080898e-05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balance 系数: 5.647103e-03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bias: 估计偏差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income 偏差: 1.582518e-07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balance 偏差: 1.296980e-05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std. error: 自助法标准误差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income 标准误差: 4.729534e-06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balance 标准误差: 2.217214e-04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(d) 比较两种方法的标准误差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计算逻辑：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glm()的标准误差：基于极大似然估计（MLE）的渐近理论，通过Hessian矩阵的逆计算系数的方差-协方差矩阵（解析解），假设样本量大时渐近正态。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自助法的标准误差：通过有放回重抽样生成多个训练子集，每个子集拟合模型得到系数估计，再计算这些估计值的样本标准差（模拟估计）。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假设依赖：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glm()依赖MLE的正则条件（如得分函数均值为0、Hessian矩阵可逆），若模型假设（如对数几率的线性性）轻微违反，结果可能偏差。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自助法是非参数方法，不依赖渐近假设，更稳健（尤其适用于小样本或模型复杂的情况）。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结果解读：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大样本下，两者结果通常接近（自助法收敛到MLE的渐近标准误）；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小样本或模型存在轻微 misspecification 时，自助法可能更准确地反映系数的变异性（因为它直接模拟了数据的抽样分布）。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总结：glm()提供快速的解析估计，自助法提供更稳健的模拟估计，两者结合可验证模型系数的不确定性。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(a) 生成模拟数据集及参数、模型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set.seed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设置随机种子保证可重复性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n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   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样本量：x和y各生成100个值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p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     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预测变量个数：仅X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y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rnorm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(n)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x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rnorm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(n)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y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x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x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rnorm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(n)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真实数据生成模型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输出结果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cat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"n ="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n,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p ="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p,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cat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"数据生成模型：y = x - 2x² + ε，其中ε ~ N(0,1)"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(b) 绘制X对Y的散点图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plot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(x, y, 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"Scatter Plot of X vs Y"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,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图标题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xlab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"Predictor X"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           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X轴标签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ylab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"Response Y"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,            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Y轴标签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pch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19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实心点样式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"blue"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                    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点颜色</w:t>
      </w:r>
    </w:p>
    <w:p>
      <w:r>
        <w:drawing>
          <wp:inline distT="0" distB="0" distL="114300" distR="114300">
            <wp:extent cx="3333750" cy="5001260"/>
            <wp:effectExtent l="0" t="0" r="6350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00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散点图呈现抛物线趋势（先升后降），因真实模型含二次项−2x2；点围绕抛物线随机分布，是添加的正态噪声（ε）所致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(c) 计算四个模型的LOOCV误差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library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(boot)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加载交叉验证所需包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dat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data.frame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x,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y)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创建数据框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模型i：线性模型（无二次项）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model_i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glm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(y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~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x,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dat)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loocv_i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cv.glm(dat, model_i)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delta[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]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提取LOOCV误差（delta[1]为PRESS统计量）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模型ii：含二次项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model_ii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glm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(y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~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x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(x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dat)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I(x^2)表示x的平方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loocv_ii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cv.glm(dat, model_ii)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delta[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模型iii：含三次项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model_iii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glm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(y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~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x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(x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(x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dat)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loocv_iii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cv.glm(dat, model_iii)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delta[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模型iv：含四次项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model_iv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glm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(y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~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x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(x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(x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(x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dat)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loocv_iv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cv.glm(dat, model_iv)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delta[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输出结果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cat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"模型i（线性）LOOCV误差："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(loocv_i,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cat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"模型ii（二次）LOOCV误差："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(loocv_ii,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cat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"模型iii（三次）LOOCV误差："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(loocv_iii,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cat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"模型iv（四次）LOOCV误差："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(loocv_iv,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r>
        <w:drawing>
          <wp:inline distT="0" distB="0" distL="114300" distR="114300">
            <wp:extent cx="5267960" cy="617220"/>
            <wp:effectExtent l="0" t="0" r="2540" b="508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(d) 更换随机种子重复步骤(c)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set.seed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更换随机种子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y_new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rnorm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(n)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x_new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rnorm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(n)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y_new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x_new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x_new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rnorm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(n)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重新生成数据（真实结构不变）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dat_new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data.frame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x_new,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y_new)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重新计算四个模型的LOOCV误差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model_i_new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glm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(y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~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x,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dat_new)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loocv_i_new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cv.glm(dat_new, model_i_new)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delta[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model_ii_new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glm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(y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~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x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(x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dat_new)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loocv_ii_new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cv.glm(dat_new, model_ii_new)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delta[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model_iii_new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glm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(y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~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x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(x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(x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dat_new)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loocv_iii_new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cv.glm(dat_new, model_iii_new)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delta[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model_iv_new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glm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(y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~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x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(x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(x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(x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^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dat_new)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loocv_iv_new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cv.glm(dat_new, model_iv_new)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delta[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输出结果并讨论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cat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"更换种子后：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cat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"模型i误差："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(loocv_i_new,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"；模型ii误差："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(loocv_ii_new,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cat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"模型iii误差："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(loocv_iii_new,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"；模型iv误差："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(loocv_iv_new,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cat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"结果与(c)不完全相同，但相对趋势一致——模型ii误差仍最小。  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原因：随机种子仅改变噪声的具体实现，不改变数据的真实结构（二次关系），因此交叉验证的泛化误差排序不变。"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r>
        <w:drawing>
          <wp:inline distT="0" distB="0" distL="114300" distR="114300">
            <wp:extent cx="5272405" cy="1864360"/>
            <wp:effectExtent l="0" t="0" r="10795" b="254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(e) 最小LOOCV误差的模型及解释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结论：步骤(c)中模型ii（含二次项）的LOOCV误差最小。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解释：真实数据生成模型是二次的（y=x−2x2+ε）。LOOCV通过“留一法”评估模型的泛化能力——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线性模型（i）无法捕捉二次趋势，欠拟合，误差大；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三次/四次模型（iii/iv）引入了真实不存在的高次项，过拟合，方差增大，误差反而上升；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二次模型（ii）恰好匹配真实结构，既不欠拟合也不过拟合，泛化误差最小。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(f) 系数估计的统计意义与交叉验证的一致性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summary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(model_i))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线性模型：β1估计≈1.01，但因遗漏x²项，估计有偏（真实β1=1，β2=-2）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summary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(model_ii)) 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二次模型：β1≈1.05（接近真实1），β2≈-2.03（接近真实-2），两者均显著（p&lt;0.001）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summary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(model_iii))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三次模型：β3≈0.12，p&gt;0.05，不显著（真实无三次项）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summary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(model_iv))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6690" cy="2800350"/>
            <wp:effectExtent l="0" t="0" r="3810" b="635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3140075"/>
            <wp:effectExtent l="0" t="0" r="12065" b="952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3697605"/>
            <wp:effectExtent l="0" t="0" r="10795" b="1079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3754120"/>
            <wp:effectExtent l="0" t="0" r="11430" b="508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(a) 总体均值μ^​的估计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library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(MASS)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(Boston)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mu_hat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mean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(Boston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medv)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(mu_hat)</w:t>
      </w:r>
    </w:p>
    <w:p>
      <w:r>
        <w:drawing>
          <wp:inline distT="0" distB="0" distL="114300" distR="114300">
            <wp:extent cx="1495425" cy="285750"/>
            <wp:effectExtent l="0" t="0" r="3175" b="635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(b) μ^​的标准误差估计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n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nrow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(Boston)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se_sample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sd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(Boston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medv)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sqrt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(n)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(se_sample)</w:t>
      </w:r>
    </w:p>
    <w:p>
      <w:r>
        <w:drawing>
          <wp:inline distT="0" distB="0" distL="114300" distR="114300">
            <wp:extent cx="1571625" cy="323850"/>
            <wp:effectExtent l="0" t="0" r="3175" b="635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(c) 自助法估计μ^​的标准误差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set.seed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123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固定随机种子（可选，保证可重复性）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1000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bootstrap_means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numeric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(B)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(i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B) {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sample_idx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sample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(n, n,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replace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  </w:t>
      </w: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有放回抽样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bootstrap_means[i]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mean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(Boston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medv[sample_idx])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se_bootstrap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sd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(bootstrap_means)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(se_bootstrap)</w:t>
      </w:r>
    </w:p>
    <w:p>
      <w:r>
        <w:drawing>
          <wp:inline distT="0" distB="0" distL="114300" distR="114300">
            <wp:extent cx="1457325" cy="219075"/>
            <wp:effectExtent l="0" t="0" r="3175" b="952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(d) 自助法95%置信区间与t.test结果对比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"自助法95%置信区间:"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ci_bootstrap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mu_hat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se_bootstrap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(ci_bootstrap)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8C379"/>
          <w:kern w:val="0"/>
          <w:sz w:val="20"/>
          <w:szCs w:val="20"/>
          <w:shd w:val="clear" w:fill="16191D"/>
          <w:lang w:val="en-US" w:eastAsia="zh-CN" w:bidi="ar"/>
        </w:rPr>
        <w:t>"t.test结果:"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t_test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t.test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(Boston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medv)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t_test_ci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t_test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conf.int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(t_test_ci)</w:t>
      </w:r>
    </w:p>
    <w:p>
      <w:r>
        <w:drawing>
          <wp:inline distT="0" distB="0" distL="114300" distR="114300">
            <wp:extent cx="2724150" cy="1457325"/>
            <wp:effectExtent l="0" t="0" r="6350" b="317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两者置信区间几乎一致。这是因为Boston$medv近似正态分布（可通过直方图或 Shapiro-Wilk 检验验证），此时自助法（经验分布）与t.test（理论分布）的推断结果趋于一致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(e) 总体中位数μ^​med​的估计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median_medv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median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(Boston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medv)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(median_medv)</w:t>
      </w:r>
    </w:p>
    <w:p>
      <w:r>
        <w:drawing>
          <wp:inline distT="0" distB="0" distL="114300" distR="114300">
            <wp:extent cx="1104900" cy="190500"/>
            <wp:effectExtent l="0" t="0" r="0" b="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(f) 自助法估计中位数μ^​med​的标准误差及讨论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set.seed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123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1000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bootstrap_medians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numeric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(B)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(i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B) {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sample_idx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sample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(n, n,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replace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bootstrap_medians[i]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median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(Boston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medv[sample_idx])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se_median_bootstrap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sd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(bootstrap_medians)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(se_median_bootstrap)</w:t>
      </w:r>
    </w:p>
    <w:p>
      <w:r>
        <w:drawing>
          <wp:inline distT="0" distB="0" distL="114300" distR="114300">
            <wp:extent cx="1533525" cy="285750"/>
            <wp:effectExtent l="0" t="0" r="3175" b="635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中位数是位置参数，对异常值更敏感，其自助法标准误差反映了“重抽样下中位数估计的波动程度”。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本例中，中位数的自助标准误差（≈0.5）大于均值的自助标准误差（≈0.41），因为中位数对分布尾部的波动更敏感，抽样变异性更大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(g) 10%分位数μ^​0.1​的估计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quantile_01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quantile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(Boston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medv,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probs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0.1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(quantile_01)</w:t>
      </w:r>
    </w:p>
    <w:p>
      <w:r>
        <w:drawing>
          <wp:inline distT="0" distB="0" distL="114300" distR="114300">
            <wp:extent cx="895350" cy="514350"/>
            <wp:effectExtent l="0" t="0" r="6350" b="635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F848E"/>
          <w:kern w:val="0"/>
          <w:sz w:val="20"/>
          <w:szCs w:val="20"/>
          <w:shd w:val="clear" w:fill="16191D"/>
          <w:lang w:val="en-US" w:eastAsia="zh-CN" w:bidi="ar"/>
        </w:rPr>
        <w:t># (h) 自助法估计10%分位数μ^​0.1​的标准误差及讨论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set.seed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123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1000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bootstrap_quantiles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numeric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(B)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(i 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B) {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sample_idx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sample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(n, n,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replace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    bootstrap_quantiles[i]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quantile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(Boston</w:t>
      </w:r>
      <w:r>
        <w:rPr>
          <w:rFonts w:hint="default" w:ascii="Consolas" w:hAnsi="Consolas" w:eastAsia="Consolas" w:cs="Consolas"/>
          <w:b w:val="0"/>
          <w:bCs w:val="0"/>
          <w:color w:val="C678DD"/>
          <w:kern w:val="0"/>
          <w:sz w:val="20"/>
          <w:szCs w:val="20"/>
          <w:shd w:val="clear" w:fill="16191D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medv[sample_idx], </w:t>
      </w:r>
      <w:r>
        <w:rPr>
          <w:rFonts w:hint="default" w:ascii="Consolas" w:hAnsi="Consolas" w:eastAsia="Consolas" w:cs="Consolas"/>
          <w:b w:val="0"/>
          <w:bCs w:val="0"/>
          <w:color w:val="E06C75"/>
          <w:kern w:val="0"/>
          <w:sz w:val="20"/>
          <w:szCs w:val="20"/>
          <w:shd w:val="clear" w:fill="16191D"/>
          <w:lang w:val="en-US" w:eastAsia="zh-CN" w:bidi="ar"/>
        </w:rPr>
        <w:t>probs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19A66"/>
          <w:kern w:val="0"/>
          <w:sz w:val="20"/>
          <w:szCs w:val="20"/>
          <w:shd w:val="clear" w:fill="16191D"/>
          <w:lang w:val="en-US" w:eastAsia="zh-CN" w:bidi="ar"/>
        </w:rPr>
        <w:t>0.1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se_quantile_bootstrap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&lt;-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sd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(bootstrap_quantiles)</w:t>
      </w:r>
    </w:p>
    <w:p>
      <w:pPr>
        <w:keepNext w:val="0"/>
        <w:keepLines w:val="0"/>
        <w:widowControl/>
        <w:suppressLineNumbers w:val="0"/>
        <w:shd w:val="clear" w:fill="16191D"/>
        <w:spacing w:line="270" w:lineRule="atLeast"/>
        <w:jc w:val="left"/>
        <w:rPr>
          <w:rFonts w:hint="default" w:ascii="Consolas" w:hAnsi="Consolas" w:eastAsia="Consolas" w:cs="Consolas"/>
          <w:b w:val="0"/>
          <w:bCs w:val="0"/>
          <w:color w:val="ABB2BF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56B6C2"/>
          <w:kern w:val="0"/>
          <w:sz w:val="20"/>
          <w:szCs w:val="20"/>
          <w:shd w:val="clear" w:fill="16191D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ABB2BF"/>
          <w:kern w:val="0"/>
          <w:sz w:val="20"/>
          <w:szCs w:val="20"/>
          <w:shd w:val="clear" w:fill="16191D"/>
          <w:lang w:val="en-US" w:eastAsia="zh-CN" w:bidi="ar"/>
        </w:rPr>
        <w:t>(se_quantile_bootstrap)</w:t>
      </w:r>
    </w:p>
    <w:p>
      <w:r>
        <w:drawing>
          <wp:inline distT="0" distB="0" distL="114300" distR="114300">
            <wp:extent cx="1438275" cy="285750"/>
            <wp:effectExtent l="0" t="0" r="9525" b="635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10%分位数属于尾部分位数，对数据左侧的极端值更敏感。其自助法标准误差（≈1.5）远大于均值和中位数的标准误差，说明尾部分位数的估计受抽样波动影响更大。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分位数越靠近分布尾部，数据的变异性对该分位数的影响越显著，自助法重抽样时尾部数据的波动会直接导致分位数估计的大幅差异。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均值、中位数、分位数的点估计分别为样本均值、样本中位数、样本分位数；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标准误差反映“估计量的抽样波动”，自助法是估计非解析标准误差（如中位数、分位数）的有效工具；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置信区间用于量化“总体参数落在某区间的概率”，自助法与理论方法（如t.test）在大样本正态分布下结果一致，尾部分位数的自助标准误差更大（因抽样变异性更高）。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llMzFlZGFjOTcxNjUzODE5ODI4M2RhZjM5YmJkOGMifQ=="/>
  </w:docVars>
  <w:rsids>
    <w:rsidRoot w:val="00000000"/>
    <w:rsid w:val="06DA1DCB"/>
    <w:rsid w:val="6B964CDD"/>
    <w:rsid w:val="7F541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TML Code"/>
    <w:basedOn w:val="6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1602</Words>
  <Characters>3426</Characters>
  <Lines>0</Lines>
  <Paragraphs>0</Paragraphs>
  <TotalTime>16</TotalTime>
  <ScaleCrop>false</ScaleCrop>
  <LinksUpToDate>false</LinksUpToDate>
  <CharactersWithSpaces>3898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2025-10-12T04:23:00Z</dcterms:created>
  <dc:creator>hp</dc:creator>
  <cp:lastModifiedBy>Lg.Glory</cp:lastModifiedBy>
  <dcterms:modified xsi:type="dcterms:W3CDTF">2025-10-12T08:40:33Z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F16D76BC1379432C9B8B59AE2B4C6B7C</vt:lpwstr>
  </property>
</Properties>
</file>