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b/>
          <w:color w:val="5A5A5A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color w:val="5A5A5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如何申请工伤认定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bdr w:val="none" w:color="auto" w:sz="0" w:space="0"/>
          <w:lang w:val="en-US" w:eastAsia="zh-CN" w:bidi="ar"/>
        </w:rPr>
        <w:t xml:space="preserve">来源: | 作者:pmo47c72d | 发布时间: 2016-08-23 | 101 次浏览 | 分享到: </w:t>
      </w:r>
    </w:p>
    <w:p>
      <w:pPr>
        <w:keepNext w:val="0"/>
        <w:keepLines w:val="0"/>
        <w:widowControl/>
        <w:suppressLineNumbers w:val="0"/>
        <w:pBdr>
          <w:top w:val="single" w:color="E5E5E5" w:sz="6" w:space="3"/>
          <w:left w:val="single" w:color="E5E5E5" w:sz="6" w:space="0"/>
          <w:bottom w:val="single" w:color="E5E5E5" w:sz="6" w:space="3"/>
          <w:right w:val="single" w:color="E5E5E5" w:sz="6" w:space="0"/>
        </w:pBdr>
        <w:shd w:val="clear" w:fill="F5F5F5"/>
        <w:spacing w:before="0" w:beforeAutospacing="0" w:after="150" w:afterAutospacing="0" w:line="357" w:lineRule="atLeast"/>
        <w:ind w:left="0" w:right="0" w:firstLine="360"/>
        <w:jc w:val="left"/>
        <w:rPr>
          <w:vanish/>
          <w:color w:val="868686"/>
        </w:rPr>
      </w:pPr>
      <w:r>
        <w:rPr>
          <w:rFonts w:ascii="宋体" w:hAnsi="宋体" w:eastAsia="宋体" w:cs="宋体"/>
          <w:vanish/>
          <w:color w:val="868686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 xml:space="preserve">按照《工伤保险条例》第十四条的规定，职工有下列情形之一的，应当认定为工伤：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发生了人身伤害事故之后，能否被认定为工伤，关系到事故受害者的切身利益。那么，什么样的情况属于工伤？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按照《工伤保险条例》第十四条的规定，职工有下列情形之一的，应当认定为工伤：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（1）在工作时间和工作场所内，因工作原因受到事故伤害的；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（2）工作时间前后在工作场所内，从事与工作有关的预备性或者收尾性工作受到事故伤害的；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（3）在工作时间和工作场所内，因履行工作职责受到暴力等意外伤害的；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（4）患职业病的；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（5）因工外出期间，由于工作原因受到伤害或者发生事故下落不明的；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（6）在上下班途中，受到非本人主要责任的交通事故或者城市轨道交通、客运轮渡、火车事故伤害的；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（7）法律、行政法规规定应当认定为工伤的其他情形。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按照《工伤保险条例》第十五条的规定，职工在工作时间和工作岗位，突发疾病死亡或者在48小时之内经抢救无效死亡的；或者在抢险救灾等维护国家利益、公共利益活动中受到伤害的；或者职工原在军队服役，因战、因公负伤致残，已取得革命伤残军人证，到用人单位后旧伤复发的，视同工伤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按照《工伤保险条例》第十六条的规定，职工符合本条例第十四条、第十五条的规定，但是有下列情形之一的，不得认定为工伤或者视同工伤：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（1）故意犯罪的；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（2）醉酒或者吸毒的；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（3）自残或者自杀的。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这些情形之所以不得被认定为工伤，是因为它们都是严重违法或主观上故意而引发的，法律对其予以了否定性的评价。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那么，是否构成工伤，是由什么部门来认定？按照《工伤保险条例》第十七条的规定，负责工伤认定的部门为用人单位所在地统筹地区社会保险行政部门。职工发生工伤后，用人单位应当在30日内，向统筹地区社会保险行政部门提出工伤认定申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91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mj_L六</cp:lastModifiedBy>
  <dcterms:modified xsi:type="dcterms:W3CDTF">2018-02-02T01:41:55Z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