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4CED8" w14:textId="77777777" w:rsidR="00695ED8" w:rsidRPr="00695ED8" w:rsidRDefault="00695ED8" w:rsidP="00695ED8">
      <w:pPr>
        <w:rPr>
          <w:rFonts w:hint="eastAsia"/>
        </w:rPr>
      </w:pPr>
      <w:r w:rsidRPr="00695ED8">
        <w:rPr>
          <w:rFonts w:hint="eastAsia"/>
        </w:rPr>
        <w:t>数据分析与质性讨论</w:t>
      </w:r>
    </w:p>
    <w:p w14:paraId="6F30205D" w14:textId="77777777" w:rsidR="00695ED8" w:rsidRPr="00695ED8" w:rsidRDefault="00695ED8" w:rsidP="00695ED8">
      <w:pPr>
        <w:rPr>
          <w:rFonts w:hint="eastAsia"/>
        </w:rPr>
      </w:pPr>
      <w:r w:rsidRPr="00695ED8">
        <w:rPr>
          <w:rFonts w:hint="eastAsia"/>
        </w:rPr>
        <w:t>一、资料来源与分析框架</w:t>
      </w:r>
    </w:p>
    <w:p w14:paraId="24567F35" w14:textId="77777777" w:rsidR="00695ED8" w:rsidRPr="00695ED8" w:rsidRDefault="00695ED8" w:rsidP="00695ED8">
      <w:pPr>
        <w:rPr>
          <w:rFonts w:hint="eastAsia"/>
        </w:rPr>
      </w:pPr>
      <w:r w:rsidRPr="00695ED8">
        <w:rPr>
          <w:rFonts w:hint="eastAsia"/>
        </w:rPr>
        <w:t>本部分以河北省行唐县龙洞村、宁夏贺兰县保南村和贵州省泮水镇西安村的深度访谈、参与式观察记录及问卷资料为基础，分析AI数字人直播在农户端的作用机制及其实际成效。研究对象涵盖村干部、驻村干部、技术提供方、直播运营人员与农户个体，重点考察技术使用、收益实现、表达空间与持续接受意愿等问题。为保证不同案例之间的可比性，研究对原始访谈文本进行了统一清洗，剔除时间戳、重复口语、格式性噪音和采访者提问，仅保留受访者连续陈述，并重构为结构化语料。该处理有助于减少非研究信息对分析结果的干扰，使三地经验能够在同一框架下展开比较。</w:t>
      </w:r>
    </w:p>
    <w:p w14:paraId="255ACBA1" w14:textId="77777777" w:rsidR="00695ED8" w:rsidRPr="00695ED8" w:rsidRDefault="00695ED8" w:rsidP="00695ED8">
      <w:pPr>
        <w:rPr>
          <w:rFonts w:hint="eastAsia"/>
        </w:rPr>
      </w:pPr>
      <w:r w:rsidRPr="00695ED8">
        <w:rPr>
          <w:rFonts w:hint="eastAsia"/>
        </w:rPr>
        <w:t>本部分采用访谈分析、问卷分析与文本分析相结合的研究思路。访谈和观察主要用于揭示技术进入乡村后的具体运行过程，包括组织推动、平台接入、主体参与和现实约束；问卷分析则用于考察农户对数字人直播的整体评价，并比较技术赋权、经济赋权和话语赋权三类因素与满意度之间的关系；文本分析进一步对大体量访谈材料中的表达重心、主题结构和情绪分布进行提炼，从而对前述判断形成补充说明。三类材料分别对应过程、分布与结构三个层面，共同构成本部分的分析基础。</w:t>
      </w:r>
    </w:p>
    <w:p w14:paraId="27429BE2" w14:textId="77777777" w:rsidR="00695ED8" w:rsidRPr="00695ED8" w:rsidRDefault="00695ED8" w:rsidP="00695ED8">
      <w:pPr>
        <w:rPr>
          <w:rFonts w:hint="eastAsia"/>
        </w:rPr>
      </w:pPr>
      <w:r w:rsidRPr="00695ED8">
        <w:rPr>
          <w:rFonts w:hint="eastAsia"/>
        </w:rPr>
        <w:t>二、农户端赋权效应的比较分析</w:t>
      </w:r>
    </w:p>
    <w:p w14:paraId="4162F003" w14:textId="77777777" w:rsidR="00695ED8" w:rsidRPr="00695ED8" w:rsidRDefault="00695ED8" w:rsidP="00695ED8">
      <w:pPr>
        <w:rPr>
          <w:rFonts w:hint="eastAsia"/>
        </w:rPr>
      </w:pPr>
      <w:r w:rsidRPr="00695ED8">
        <w:rPr>
          <w:rFonts w:hint="eastAsia"/>
        </w:rPr>
        <w:t>（一）技术赋权：进入门槛的下降与实际掌握的差异</w:t>
      </w:r>
    </w:p>
    <w:p w14:paraId="0B9E84CD" w14:textId="77777777" w:rsidR="00695ED8" w:rsidRPr="00695ED8" w:rsidRDefault="00695ED8" w:rsidP="00695ED8">
      <w:pPr>
        <w:rPr>
          <w:rFonts w:hint="eastAsia"/>
        </w:rPr>
      </w:pPr>
      <w:r w:rsidRPr="00695ED8">
        <w:rPr>
          <w:rFonts w:hint="eastAsia"/>
        </w:rPr>
        <w:t>从三地案例看，AI数字人直播首先改变了农户进入直播电商的技术门槛。龙洞村残疾人双创园负责人在回忆项目起步时指出，快手团队“教得特别细，手把手教我们怎么开播、切场景，怎么远程操作电脑”，而园区技术负责人则表示“数字人自己说、自己播，我们只管看数据”。这些表述说明，数字人系统并非单纯替代人工，而是将原本依赖真人持续在线、即时应变和镜头表现力的直播劳动，转化为脚本编写、后台维护、关键词设置和数据观察等更容易进入的数字劳动。对残疾人群体和直播经验不足的村民而言，这种变化首先表现为进入门槛的下降。</w:t>
      </w:r>
    </w:p>
    <w:p w14:paraId="5B595A8D" w14:textId="77777777" w:rsidR="00695ED8" w:rsidRPr="00695ED8" w:rsidRDefault="00695ED8" w:rsidP="00695ED8">
      <w:pPr>
        <w:rPr>
          <w:rFonts w:hint="eastAsia"/>
        </w:rPr>
      </w:pPr>
      <w:r w:rsidRPr="00695ED8">
        <w:rPr>
          <w:rFonts w:hint="eastAsia"/>
        </w:rPr>
        <w:t>不过，技术门槛的下降并不等于个体已充分掌握相关能力。保南村村书记在访谈中直言：“后头他怎么去操作？怎么去用呢？他都不知道。所以说我们到村民这一块他就很不好操作，就很不好。”这一表述表明，数字人直播虽然减轻了前台出镜和临场表达的压力，但后台操作、持续维护与内容更新仍构成现实障碍。问卷结果与此相互印证。Q2“独立完成商品上架”的平均分仅为3.560，在全部题项中处于较低水平；多元回归结果显示，技术赋权对满意度的影响不显著，系数为-0.047，p=0.649。由此可见，技术赋权在当前阶段更多体现为技术可接近性的提升，而尚未充分转化为农户对自身数字能力的稳定认知。</w:t>
      </w:r>
    </w:p>
    <w:p w14:paraId="0DF3C844" w14:textId="77777777" w:rsidR="00695ED8" w:rsidRPr="00695ED8" w:rsidRDefault="00695ED8" w:rsidP="00695ED8">
      <w:pPr>
        <w:rPr>
          <w:rFonts w:hint="eastAsia"/>
        </w:rPr>
      </w:pPr>
      <w:r w:rsidRPr="00695ED8">
        <w:rPr>
          <w:rFonts w:hint="eastAsia"/>
        </w:rPr>
        <w:t>（二）经济赋权：就业吸纳、产业带动与销售效率的不同展开</w:t>
      </w:r>
    </w:p>
    <w:p w14:paraId="5C56818A" w14:textId="77777777" w:rsidR="00695ED8" w:rsidRPr="00695ED8" w:rsidRDefault="00695ED8" w:rsidP="00695ED8">
      <w:pPr>
        <w:rPr>
          <w:rFonts w:hint="eastAsia"/>
        </w:rPr>
      </w:pPr>
      <w:r w:rsidRPr="00695ED8">
        <w:rPr>
          <w:rFonts w:hint="eastAsia"/>
        </w:rPr>
        <w:t>经济赋权是受访者感知最直接的维度，但其在三地的实现形式并不一致。龙洞村案例</w:t>
      </w:r>
      <w:r w:rsidRPr="00695ED8">
        <w:rPr>
          <w:rFonts w:hint="eastAsia"/>
        </w:rPr>
        <w:lastRenderedPageBreak/>
        <w:t>更突出就业吸纳效应。园长在访谈中表示：“有很多残疾人没有文化，都是小学毕业，那这样的人工智能的融入，让我们做出来的脚本很适合……这就是给残疾人就业赋能。”她同时指出：“他解决了就业，也解决了农产品销售，壮大了村集体经济。两个最难的项都解决了。”这些陈述说明，龙洞村的数字人直播并非仅用于带货，而是被嵌入助残就业与集体增收的组织化项目之中。数字人技术在此不仅承担销售功能，也重新组织了劳动分工，使部分原本难以进入直播产业链的群体获得了参与机会。</w:t>
      </w:r>
    </w:p>
    <w:p w14:paraId="7DB464BE" w14:textId="77777777" w:rsidR="00695ED8" w:rsidRPr="00695ED8" w:rsidRDefault="00695ED8" w:rsidP="00695ED8">
      <w:pPr>
        <w:rPr>
          <w:rFonts w:hint="eastAsia"/>
        </w:rPr>
      </w:pPr>
      <w:r w:rsidRPr="00695ED8">
        <w:rPr>
          <w:rFonts w:hint="eastAsia"/>
        </w:rPr>
        <w:t>保南村的经济效应则更接近产业带动与收益预期。高分访谈材料中，保南村主播提到：“这些产业也带动我们这个村里就近在家门口复工就业……让我们的村民得到实惠，这是乡村振兴最好的体现。”这表明，当地受访者主要从村庄产业发展和家门口就业的角度理解数字人直播的价值。然而，另一组低分语料同时呈现出收益兑现的现实困难。村书记明确表示：“我们如果是村级的收入多了，跟我们合作社说明可能有个分红，但是我们现在是几乎是负的。几乎是负的，现在没办法分。”因此，保南村的经济赋权更多体现为发展方向和结构性增益，而非已经普遍兑现的稳定个体收益。问卷结果进一步支持这一判断。Q21“吸引年轻人返乡电商”的均值达到4.321，反映出农户对长期经济前景持积极态度；但Q13“愿贷款扩大电商规模”的均值仅为3.524，说明其对现实投入与风险承担仍保持谨慎。回归结果中，经济赋权系数为0.287，p=0.116，虽呈正向影响，但尚未达到显著水平。</w:t>
      </w:r>
    </w:p>
    <w:p w14:paraId="0C89D685" w14:textId="77777777" w:rsidR="00695ED8" w:rsidRPr="00695ED8" w:rsidRDefault="00695ED8" w:rsidP="00695ED8">
      <w:pPr>
        <w:rPr>
          <w:rFonts w:hint="eastAsia"/>
        </w:rPr>
      </w:pPr>
      <w:r w:rsidRPr="00695ED8">
        <w:rPr>
          <w:rFonts w:hint="eastAsia"/>
        </w:rPr>
        <w:t>西安村的经济逻辑与前两地不同，更侧重于销售效率和运营稳定性的提升。当地经理指出：“目前我们主要采取的是一件代发的模式，整体流程相对比较标准化和平台化。具体来说，就是农产品会先集中到我们自己的仓库，由我们进行统一的收货、分拣和发货，这样可以保证物流效率和产品质量的稳定性。”这一表述表明，西安村的数字人直播依赖的是成熟的仓配体系、统一的话术结构与平台合作机制。对农户而言，该模式降低了试错成本，提高了产品进入线上销售链条的稳定性，但其赋权方式更多体现为纳入成熟体系后的收益改善，而非个体经营能力的同步提升。</w:t>
      </w:r>
    </w:p>
    <w:p w14:paraId="1EF76BC8" w14:textId="77777777" w:rsidR="00695ED8" w:rsidRPr="00695ED8" w:rsidRDefault="00695ED8" w:rsidP="00695ED8">
      <w:pPr>
        <w:rPr>
          <w:rFonts w:hint="eastAsia"/>
        </w:rPr>
      </w:pPr>
      <w:r w:rsidRPr="00695ED8">
        <w:rPr>
          <w:rFonts w:hint="eastAsia"/>
        </w:rPr>
        <w:t>（三）话语赋权：内容参与与主体表达的形成</w:t>
      </w:r>
    </w:p>
    <w:p w14:paraId="14EEABBB" w14:textId="77777777" w:rsidR="00695ED8" w:rsidRPr="00695ED8" w:rsidRDefault="00695ED8" w:rsidP="00695ED8">
      <w:pPr>
        <w:rPr>
          <w:rFonts w:hint="eastAsia"/>
        </w:rPr>
      </w:pPr>
      <w:r w:rsidRPr="00695ED8">
        <w:rPr>
          <w:rFonts w:hint="eastAsia"/>
        </w:rPr>
        <w:t>与技术赋权和经济赋权相比，话语赋权在本研究中呈现出更强的解释力。龙洞村受访者陈大姐在观看数字人直播时说：“她不像机器，更像帮我说话的人。”园区负责人也提到：“她虽然不是我们村的，可她帮我们说出了我们想说的话。”这两段原话显示，数字人直播的重要变化不只是替农户完成表达，更在于为原本“不敢上镜”“说不明白”的群体提供了新的发声通道。保南村的情况亦然。中期材料记录，村民会在直播评论区留言“书记，今天讲讲瓜子怎么晒的？”“我家新栽的梨树能不能上镜？”，而这些反馈随后被书记吸纳进直播选题和村庄讨论之中。数字人因而不只是带货工具，也成为连接村民经验、地方知识与外部受众的媒介装置。</w:t>
      </w:r>
    </w:p>
    <w:p w14:paraId="233ED0C5" w14:textId="77777777" w:rsidR="00695ED8" w:rsidRPr="00695ED8" w:rsidRDefault="00695ED8" w:rsidP="00695ED8">
      <w:pPr>
        <w:rPr>
          <w:rFonts w:hint="eastAsia"/>
        </w:rPr>
      </w:pPr>
      <w:r w:rsidRPr="00695ED8">
        <w:rPr>
          <w:rFonts w:hint="eastAsia"/>
        </w:rPr>
        <w:t>量化结果对这一判断提供了最明确的支持。问卷分析显示，Q23“对整体效果满意”、Q18“数字人直播是农村发展明智选择”和Q21“吸引年轻人返乡电商”的均值分别达到4.345、4.333和4.321，说明总体满意度处于较高水平。更关键的是，SEM与多元回归</w:t>
      </w:r>
      <w:r w:rsidRPr="00695ED8">
        <w:rPr>
          <w:rFonts w:hint="eastAsia"/>
        </w:rPr>
        <w:lastRenderedPageBreak/>
        <w:t>均表明，话语赋权是影响满意度的核心因素，标准化路径系数为β=0.635，p&lt;0.001。具体而言，当农户能够借助数字人传播乡土文化、获得消费者积极反馈时，满意度显著提升。与前两个维度相比，话语赋权更容易转化为满意度，原因在于它直接作用于农户的主体感受，使农户从被动配合直播的对象，转变为能够参与内容生产、地方讲述和身份呈现的主体。</w:t>
      </w:r>
    </w:p>
    <w:p w14:paraId="3BDBD302" w14:textId="77777777" w:rsidR="00695ED8" w:rsidRPr="00695ED8" w:rsidRDefault="00695ED8" w:rsidP="00695ED8">
      <w:pPr>
        <w:rPr>
          <w:rFonts w:hint="eastAsia"/>
        </w:rPr>
      </w:pPr>
      <w:r w:rsidRPr="00695ED8">
        <w:rPr>
          <w:rFonts w:hint="eastAsia"/>
        </w:rPr>
        <w:t>三、量化结果与文本分析的交叉验证</w:t>
      </w:r>
    </w:p>
    <w:p w14:paraId="7B3ACB77" w14:textId="77777777" w:rsidR="00695ED8" w:rsidRPr="00695ED8" w:rsidRDefault="00695ED8" w:rsidP="00695ED8">
      <w:pPr>
        <w:rPr>
          <w:rFonts w:hint="eastAsia"/>
        </w:rPr>
      </w:pPr>
      <w:r w:rsidRPr="00695ED8">
        <w:rPr>
          <w:rFonts w:hint="eastAsia"/>
        </w:rPr>
        <w:t>文本分析首先验证了三地实践类型的显著差异。TF-IDF结果显示，保南村的高权重词集中在“产业”“书记”“村民”“集体”“种植”“枸杞”“番茄”“基地”等词项上，说明当地数字人直播深度嵌入村集体动员和实体农业之中；龙洞村则集中于“快手”“平台”“女娲”“残疾人”“就业”“责任”等词项，反映出平台依托和助残就业是其核心逻辑；西安村突出“百度”“邀约”“合作”“话术”“仓库”“标准化”“一件代发”等词项，表明其运行已经嵌入较成熟的平台合作和供应链整合机制。与访谈材料相比，特征词分析的意义在于，它将分散在不同受访者叙述中的表达重心提炼出来，使三地差异不再停留于印象判断，而具备了可重复验证的文本依据。</w:t>
      </w:r>
    </w:p>
    <w:p w14:paraId="199C88F9" w14:textId="77777777" w:rsidR="00695ED8" w:rsidRPr="00695ED8" w:rsidRDefault="00695ED8" w:rsidP="00695ED8">
      <w:pPr>
        <w:rPr>
          <w:rFonts w:hint="eastAsia"/>
        </w:rPr>
      </w:pPr>
      <w:r w:rsidRPr="00695ED8">
        <w:rPr>
          <w:rFonts w:hint="eastAsia"/>
        </w:rPr>
        <w:t>主题模型进一步表明，三地不仅高频词项不同，词语之间的组合关系也存在明显差异。保南村主题中同时出现“价格”“账号”“钱”“真人”“系统”“小番茄”“村民”等词，一致性得分为0.344，说明当地仍处于技术落地、现实收益与特色农业相互交织的探索阶段；龙洞村主题高度集中在“快手”“平台”“残疾人”“脚本”“运营”“粉丝”“销售”等词组上，一致性得分为0.475，表明其从平台接入到运营执行的链条已经较为清晰；西安村主题集中于“内容”“产品”“话术”“合作”“平台”“百度”“邀约”等词，一致性得分高达0.650，显示出最强的标准化与系统化特征。主题模型的引入，使三地差异不只是经验概括，而获得了语义结构上的进一步支撑。</w:t>
      </w:r>
    </w:p>
    <w:p w14:paraId="253F6BEF" w14:textId="77777777" w:rsidR="00695ED8" w:rsidRPr="00695ED8" w:rsidRDefault="00695ED8" w:rsidP="00695ED8">
      <w:pPr>
        <w:rPr>
          <w:rFonts w:hint="eastAsia"/>
        </w:rPr>
      </w:pPr>
      <w:r w:rsidRPr="00695ED8">
        <w:rPr>
          <w:rFonts w:hint="eastAsia"/>
        </w:rPr>
        <w:t>情感分析则揭示了三地高接受度背后的不同条件。研究将模型分类结果映射为0到100分的连续好感度指标，并以50分作为中性基线。保南村平均得分为77.41，中位数为98.54；龙洞村平均得分为73.05，中位数为95.58；西安村平均得分为98.89，中位数为99.21。保南村和龙洞村均表现出中位数较高、平均值被拉低的特征，说明多数受访者对数字人助农持积极态度，但同时仍存在明显的落地摩擦。低分语料进一步揭示了摩擦的来源：保南村集中于前期分红困难和农户操作障碍，龙洞村集中于平台账号不足和售后不可控，西安村则几乎不存在类似的基层焦虑，其低分更多来自对技术表现力边界的理性判断。由此可见，三地虽都呈现出较高认可度，但支撑这种认可的现实条件并不相同。</w:t>
      </w:r>
    </w:p>
    <w:p w14:paraId="0D1C8180" w14:textId="77777777" w:rsidR="00695ED8" w:rsidRPr="00695ED8" w:rsidRDefault="00695ED8" w:rsidP="00695ED8">
      <w:pPr>
        <w:rPr>
          <w:rFonts w:hint="eastAsia"/>
        </w:rPr>
      </w:pPr>
      <w:r w:rsidRPr="00695ED8">
        <w:rPr>
          <w:rFonts w:hint="eastAsia"/>
        </w:rPr>
        <w:t>四、研究设计说明</w:t>
      </w:r>
    </w:p>
    <w:p w14:paraId="19A0BE87" w14:textId="77777777" w:rsidR="00695ED8" w:rsidRPr="00695ED8" w:rsidRDefault="00695ED8" w:rsidP="00695ED8">
      <w:pPr>
        <w:rPr>
          <w:rFonts w:hint="eastAsia"/>
        </w:rPr>
      </w:pPr>
      <w:r w:rsidRPr="00695ED8">
        <w:rPr>
          <w:rFonts w:hint="eastAsia"/>
        </w:rPr>
        <w:t>本研究采用问卷、访谈和文本分析并行的设计，原因在于三类材料分别回答不同层次的问题。访谈和观察用于呈现数字人直播在村庄中的实际运行过程，能够揭示组织推动、平台合作、产业基础和主体互动等机制性问题；问卷用于考察农户的整体评价，并比较技术赋权、经济赋权和话语赋权三类因素与满意度之间的关系；文本分析则处</w:t>
      </w:r>
      <w:r w:rsidRPr="00695ED8">
        <w:rPr>
          <w:rFonts w:hint="eastAsia"/>
        </w:rPr>
        <w:lastRenderedPageBreak/>
        <w:t>理跨案例的大体量访谈材料，将人工阅读中不易稳定识别的语义重心、主题结构和情绪波动提炼出来。三类方法并非彼此替代，而是在机制、分布与结构三个层面相互补充。</w:t>
      </w:r>
    </w:p>
    <w:p w14:paraId="46BA0F45" w14:textId="77777777" w:rsidR="00695ED8" w:rsidRPr="00695ED8" w:rsidRDefault="00695ED8" w:rsidP="00695ED8">
      <w:pPr>
        <w:rPr>
          <w:rFonts w:hint="eastAsia"/>
        </w:rPr>
      </w:pPr>
      <w:r w:rsidRPr="00695ED8">
        <w:rPr>
          <w:rFonts w:hint="eastAsia"/>
        </w:rPr>
        <w:t>问卷分析方法的选择具有明确的适配性。首先，问卷题项形成于前期田野调查，题项并非简单照搬成熟量表，因此必须通过信效度检验确认其是否适合进入正式分析。结果显示，问卷的Cronbach α为0.933，KMO值为0.854，说明题项具有较高内部一致性，也具备较好的结构适配性。其次，描述性统计用于识别总体满意度水平及不同题项之间的差异。例如，Q23、Q18和Q21得分较高，而Q2、Q3和Q13得分较低，这一结果能够揭示农户在整体认可与具体操作、经济投入之间的态度落差。再次，多元回归和SEM用于比较三类赋权因素的相对影响，并检验路径关系是否成立。回归结果显示R²=0.507，F=27.37，p&lt;0.001，表明模型整体拟合较好；SEM进一步验证，话语赋权对满意度的作用最强，技术赋权和经济赋权则未达显著水平。最后，引入XGBoost的目的，在于将其作为对传统线性模型的补充，以避免仅用线性回归低估乡村数字技术应用中的非线性差异和异质性。</w:t>
      </w:r>
    </w:p>
    <w:p w14:paraId="6AE895D1" w14:textId="77777777" w:rsidR="00695ED8" w:rsidRPr="00695ED8" w:rsidRDefault="00695ED8" w:rsidP="00695ED8">
      <w:pPr>
        <w:rPr>
          <w:rFonts w:hint="eastAsia"/>
        </w:rPr>
      </w:pPr>
      <w:r w:rsidRPr="00695ED8">
        <w:rPr>
          <w:rFonts w:hint="eastAsia"/>
        </w:rPr>
        <w:t>五、结论</w:t>
      </w:r>
    </w:p>
    <w:p w14:paraId="77C86543" w14:textId="77777777" w:rsidR="00695ED8" w:rsidRPr="00695ED8" w:rsidRDefault="00695ED8" w:rsidP="00695ED8">
      <w:pPr>
        <w:rPr>
          <w:rFonts w:hint="eastAsia"/>
        </w:rPr>
      </w:pPr>
      <w:r w:rsidRPr="00695ED8">
        <w:rPr>
          <w:rFonts w:hint="eastAsia"/>
        </w:rPr>
        <w:t>三地案例表明，AI数字人直播助农并不存在单一复制路径。龙洞村形成的是平台嵌入与就业吸纳结合的路径，技术的主要功能在于将原本对身体条件和镜头能力要求较高的直播劳动，转化为更容易进入的后台数字劳动；保南村形成的是村庄组织牵引与地方产业联动的路径，数字人直播被纳入书记直播、特色农业和村集体经济发展的整体框架；西安村形成的则是平台企业协同与标准化运营路径，其高效率主要依赖统一话术、成熟供应链和平台合作机制。三种路径的差异说明，数字人直播能否发挥作用，关键不在于技术形式本身，而在于技术能否嵌入合适的组织条件、产业基础与平台资源。</w:t>
      </w:r>
    </w:p>
    <w:p w14:paraId="5DE1C2BC" w14:textId="77777777" w:rsidR="00695ED8" w:rsidRPr="00695ED8" w:rsidRDefault="00695ED8" w:rsidP="00695ED8">
      <w:pPr>
        <w:rPr>
          <w:rFonts w:hint="eastAsia"/>
        </w:rPr>
      </w:pPr>
      <w:r w:rsidRPr="00695ED8">
        <w:rPr>
          <w:rFonts w:hint="eastAsia"/>
        </w:rPr>
        <w:t>不过，三地并非只有差异，也呈现出若干可以推广的共性机制。第一，数字人直播均在不同程度上降低了农户进入电商直播的前台门槛，使原本不善表达、不便出镜或缺乏直播经验的人群能够参与线上销售。第二，数字人直播在三地都不是孤立运行的技术，而是依赖村委会、双创园、平台企业、合作社或运营团队等中介组织完成落地。第三，数字人直播要真正转化为农户端成效，必须同时具备内容生产、平台接入、供应链承接和售后配套，而不能停留于数字人形象本身。第四，从农户满意度来看，最稳定的积极效果并不是即时增收本身，而是参与感、表达权和被看见的感觉。因此，数字人助农的推广逻辑更适合被理解为组织、内容、平台与产业协同进入乡村的过程，而非单一技术的自然扩散。</w:t>
      </w:r>
    </w:p>
    <w:p w14:paraId="25AA14B2" w14:textId="38F888D4" w:rsidR="009C028F" w:rsidRDefault="00695ED8" w:rsidP="00695ED8">
      <w:pPr>
        <w:rPr>
          <w:rFonts w:hint="eastAsia"/>
        </w:rPr>
      </w:pPr>
      <w:r w:rsidRPr="00695ED8">
        <w:rPr>
          <w:rFonts w:hint="eastAsia"/>
        </w:rPr>
        <w:t>从推广角度看，本研究更支持分类推广而非统一复制。对于具有较强社会组织资源和特殊群体就业需求的地区，可以优先借鉴龙洞村式的就业导向路径，将数字人直播与助残、培训和村集体增收结合起来；对于具有明确特色产业和较强基层动员能力的地区，可以优先借鉴保南村式的产业导向路径，将数字人直播作为村庄品牌传播和农产</w:t>
      </w:r>
      <w:r w:rsidRPr="00695ED8">
        <w:rPr>
          <w:rFonts w:hint="eastAsia"/>
        </w:rPr>
        <w:lastRenderedPageBreak/>
        <w:t>品上行的工具；对于已经具备成熟供应链、稳定选品和平台合作基础的地区，则更适合借鉴西安村的标准化运营路径。无论采取何种模式，后续推广至少需要满足四项条件：稳定的组织牵头者、可持续的产品与供应链、与平台规则相匹配的运营能力，以及能够让农户参与内容生产和表达的空间。只有在这些条件同时具备时，AI数字人直播助农才可能从短期热点转化为较稳定的乡村发展工具。</w:t>
      </w:r>
    </w:p>
    <w:sectPr w:rsidR="009C02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96"/>
    <w:rsid w:val="000C061F"/>
    <w:rsid w:val="005A4AEB"/>
    <w:rsid w:val="00695ED8"/>
    <w:rsid w:val="0077460C"/>
    <w:rsid w:val="009C028F"/>
    <w:rsid w:val="00E86096"/>
    <w:rsid w:val="00FB3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589E41-026D-4D7A-99EE-A275CEBD6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60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60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60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60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60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60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60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60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60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60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60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60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6096"/>
    <w:rPr>
      <w:rFonts w:cstheme="majorBidi"/>
      <w:color w:val="0F4761" w:themeColor="accent1" w:themeShade="BF"/>
      <w:sz w:val="28"/>
      <w:szCs w:val="28"/>
    </w:rPr>
  </w:style>
  <w:style w:type="character" w:customStyle="1" w:styleId="50">
    <w:name w:val="标题 5 字符"/>
    <w:basedOn w:val="a0"/>
    <w:link w:val="5"/>
    <w:uiPriority w:val="9"/>
    <w:semiHidden/>
    <w:rsid w:val="00E86096"/>
    <w:rPr>
      <w:rFonts w:cstheme="majorBidi"/>
      <w:color w:val="0F4761" w:themeColor="accent1" w:themeShade="BF"/>
      <w:sz w:val="24"/>
    </w:rPr>
  </w:style>
  <w:style w:type="character" w:customStyle="1" w:styleId="60">
    <w:name w:val="标题 6 字符"/>
    <w:basedOn w:val="a0"/>
    <w:link w:val="6"/>
    <w:uiPriority w:val="9"/>
    <w:semiHidden/>
    <w:rsid w:val="00E86096"/>
    <w:rPr>
      <w:rFonts w:cstheme="majorBidi"/>
      <w:b/>
      <w:bCs/>
      <w:color w:val="0F4761" w:themeColor="accent1" w:themeShade="BF"/>
    </w:rPr>
  </w:style>
  <w:style w:type="character" w:customStyle="1" w:styleId="70">
    <w:name w:val="标题 7 字符"/>
    <w:basedOn w:val="a0"/>
    <w:link w:val="7"/>
    <w:uiPriority w:val="9"/>
    <w:semiHidden/>
    <w:rsid w:val="00E86096"/>
    <w:rPr>
      <w:rFonts w:cstheme="majorBidi"/>
      <w:b/>
      <w:bCs/>
      <w:color w:val="595959" w:themeColor="text1" w:themeTint="A6"/>
    </w:rPr>
  </w:style>
  <w:style w:type="character" w:customStyle="1" w:styleId="80">
    <w:name w:val="标题 8 字符"/>
    <w:basedOn w:val="a0"/>
    <w:link w:val="8"/>
    <w:uiPriority w:val="9"/>
    <w:semiHidden/>
    <w:rsid w:val="00E86096"/>
    <w:rPr>
      <w:rFonts w:cstheme="majorBidi"/>
      <w:color w:val="595959" w:themeColor="text1" w:themeTint="A6"/>
    </w:rPr>
  </w:style>
  <w:style w:type="character" w:customStyle="1" w:styleId="90">
    <w:name w:val="标题 9 字符"/>
    <w:basedOn w:val="a0"/>
    <w:link w:val="9"/>
    <w:uiPriority w:val="9"/>
    <w:semiHidden/>
    <w:rsid w:val="00E86096"/>
    <w:rPr>
      <w:rFonts w:eastAsiaTheme="majorEastAsia" w:cstheme="majorBidi"/>
      <w:color w:val="595959" w:themeColor="text1" w:themeTint="A6"/>
    </w:rPr>
  </w:style>
  <w:style w:type="paragraph" w:styleId="a3">
    <w:name w:val="Title"/>
    <w:basedOn w:val="a"/>
    <w:next w:val="a"/>
    <w:link w:val="a4"/>
    <w:uiPriority w:val="10"/>
    <w:qFormat/>
    <w:rsid w:val="00E860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60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60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60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6096"/>
    <w:pPr>
      <w:spacing w:before="160"/>
      <w:jc w:val="center"/>
    </w:pPr>
    <w:rPr>
      <w:i/>
      <w:iCs/>
      <w:color w:val="404040" w:themeColor="text1" w:themeTint="BF"/>
    </w:rPr>
  </w:style>
  <w:style w:type="character" w:customStyle="1" w:styleId="a8">
    <w:name w:val="引用 字符"/>
    <w:basedOn w:val="a0"/>
    <w:link w:val="a7"/>
    <w:uiPriority w:val="29"/>
    <w:rsid w:val="00E86096"/>
    <w:rPr>
      <w:i/>
      <w:iCs/>
      <w:color w:val="404040" w:themeColor="text1" w:themeTint="BF"/>
    </w:rPr>
  </w:style>
  <w:style w:type="paragraph" w:styleId="a9">
    <w:name w:val="List Paragraph"/>
    <w:basedOn w:val="a"/>
    <w:uiPriority w:val="34"/>
    <w:qFormat/>
    <w:rsid w:val="00E86096"/>
    <w:pPr>
      <w:ind w:left="720"/>
      <w:contextualSpacing/>
    </w:pPr>
  </w:style>
  <w:style w:type="character" w:styleId="aa">
    <w:name w:val="Intense Emphasis"/>
    <w:basedOn w:val="a0"/>
    <w:uiPriority w:val="21"/>
    <w:qFormat/>
    <w:rsid w:val="00E86096"/>
    <w:rPr>
      <w:i/>
      <w:iCs/>
      <w:color w:val="0F4761" w:themeColor="accent1" w:themeShade="BF"/>
    </w:rPr>
  </w:style>
  <w:style w:type="paragraph" w:styleId="ab">
    <w:name w:val="Intense Quote"/>
    <w:basedOn w:val="a"/>
    <w:next w:val="a"/>
    <w:link w:val="ac"/>
    <w:uiPriority w:val="30"/>
    <w:qFormat/>
    <w:rsid w:val="00E8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6096"/>
    <w:rPr>
      <w:i/>
      <w:iCs/>
      <w:color w:val="0F4761" w:themeColor="accent1" w:themeShade="BF"/>
    </w:rPr>
  </w:style>
  <w:style w:type="character" w:styleId="ad">
    <w:name w:val="Intense Reference"/>
    <w:basedOn w:val="a0"/>
    <w:uiPriority w:val="32"/>
    <w:qFormat/>
    <w:rsid w:val="00E86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Tiancheng Xing</dc:creator>
  <cp:keywords/>
  <dc:description/>
  <cp:lastModifiedBy>Tiancheng Xing</cp:lastModifiedBy>
  <cp:revision>2</cp:revision>
  <dcterms:created xsi:type="dcterms:W3CDTF">2026-03-23T10:17:00Z</dcterms:created>
  <dcterms:modified xsi:type="dcterms:W3CDTF">2026-03-23T10:17:00Z</dcterms:modified>
</cp:coreProperties>
</file>