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Calibri" w:hAnsi="Calibri" w:eastAsia="Microsoft YaHei"/>
          <w:b/>
          <w:color w:val="1677FF"/>
          <w:sz w:val="18"/>
        </w:rPr>
        <w:t>辅助审查报告  /  DEMO REVIEW REPORT</w:t>
      </w:r>
    </w:p>
    <w:p>
      <w:pPr>
        <w:spacing w:after="80"/>
      </w:pPr>
      <w:r>
        <w:rPr>
          <w:rFonts w:ascii="Calibri" w:hAnsi="Calibri" w:eastAsia="Microsoft YaHei"/>
          <w:b/>
          <w:color w:val="101828"/>
          <w:sz w:val="46"/>
        </w:rPr>
        <w:t>落地式钢管脚手架专项施工方案</w:t>
      </w:r>
    </w:p>
    <w:p>
      <w:pPr>
        <w:spacing w:after="240"/>
        <w:pBdr>
          <w:bottom w:val="single" w:sz="12" w:space="5" w:color="1677FF"/>
        </w:pBdr>
      </w:pPr>
      <w:r>
        <w:rPr>
          <w:rFonts w:ascii="Calibri" w:hAnsi="Calibri" w:eastAsia="Microsoft YaHei"/>
          <w:b/>
          <w:color w:val="667085"/>
          <w:sz w:val="28"/>
        </w:rPr>
        <w:t>智能辅助审查结果（含缺陷演示样例）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667085"/>
                <w:sz w:val="22"/>
              </w:rPr>
              <w:t>任务编号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DEMO-1001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667085"/>
                <w:sz w:val="22"/>
              </w:rPr>
              <w:t>工程类型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脚手架工程 / 落地式钢管脚手架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667085"/>
                <w:sz w:val="22"/>
              </w:rPr>
              <w:t>审查状态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发现问题，建议整改后复审</w:t>
            </w:r>
          </w:p>
        </w:tc>
      </w:tr>
      <w:tr>
        <w:tc>
          <w:tcPr>
            <w:tcW w:type="dxa" w:w="22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r>
              <w:rPr>
                <w:rFonts w:ascii="Calibri" w:hAnsi="Calibri" w:eastAsia="Microsoft YaHei"/>
                <w:b/>
                <w:color w:val="667085"/>
                <w:sz w:val="22"/>
              </w:rPr>
              <w:t>生成时间</w:t>
            </w:r>
          </w:p>
        </w:tc>
        <w:tc>
          <w:tcPr>
            <w:tcW w:type="dxa" w:w="71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2026年8月23日（演示数据）</w:t>
            </w:r>
          </w:p>
        </w:tc>
      </w:tr>
    </w:tbl>
    <w:p/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3FF"/>
          </w:tcPr>
          <w:p>
            <w:r>
              <w:rPr>
                <w:rFonts w:ascii="Calibri" w:hAnsi="Calibri" w:eastAsia="Microsoft YaHei"/>
                <w:b/>
                <w:color w:val="1677FF"/>
                <w:sz w:val="23"/>
              </w:rPr>
              <w:t>审查结论：</w:t>
            </w: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共识别5项待处理问题，其中严重问题2项、警告问题3项。建议在参数统一、地基承载力验算及现场荷载控制整改完成后，由专业人员复核。</w:t>
            </w:r>
          </w:p>
        </w:tc>
      </w:tr>
    </w:tbl>
    <w:p>
      <w:pPr>
        <w:pStyle w:val="Heading1"/>
        <w:keepNext/>
      </w:pPr>
      <w:r>
        <w:t>一、审查范围与方法</w:t>
      </w:r>
    </w:p>
    <w:p>
      <w:r>
        <w:rPr>
          <w:rFonts w:ascii="Calibri" w:hAnsi="Calibri" w:eastAsia="Microsoft YaHei"/>
          <w:b w:val="0"/>
          <w:color w:val="1F2937"/>
          <w:sz w:val="22"/>
        </w:rPr>
        <w:t>本报告用于展示系统输出样式，模拟文档结构检查、方案证据提取、法规知识检索、问题分级和整改建议生成。当前文件不是PaddleOCR、RAGFlow及Dify完整生产链路的真实运行结果。</w:t>
      </w:r>
    </w:p>
    <w:p>
      <w:pPr>
        <w:pStyle w:val="Heading1"/>
        <w:keepNext/>
      </w:pPr>
      <w:r>
        <w:t>二、问题汇总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</w:tblPr>
      <w:tblGrid>
        <w:gridCol w:w="850"/>
        <w:gridCol w:w="1600"/>
        <w:gridCol w:w="4810"/>
        <w:gridCol w:w="2100"/>
      </w:tblGrid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2"/>
              </w:rPr>
              <w:t>序号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2"/>
              </w:rPr>
              <w:t>等级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2"/>
              </w:rPr>
              <w:t>问题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F2F4F7"/>
          </w:tcPr>
          <w:p>
            <w:pPr>
              <w:jc w:val="center"/>
            </w:pPr>
            <w:r>
              <w:rPr>
                <w:rFonts w:ascii="Calibri" w:hAnsi="Calibri" w:eastAsia="Microsoft YaHei"/>
                <w:b/>
                <w:color w:val="1F2937"/>
                <w:sz w:val="22"/>
              </w:rPr>
              <w:t>处理建议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1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B42318"/>
                <w:sz w:val="22"/>
              </w:rPr>
              <w:t>严重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连墙件布置参数前后不一致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统一参数并复核稳定性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2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B42318"/>
                <w:sz w:val="22"/>
              </w:rPr>
              <w:t>严重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立杆基础缺少承载力验算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补充计算与排水措施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3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警告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卸料平台荷载控制不可执行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明确限载值和巡查要求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4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警告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缺少施工监测专项章节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补充监测频率和预警值</w:t>
            </w:r>
          </w:p>
        </w:tc>
      </w:tr>
      <w:tr>
        <w:tc>
          <w:tcPr>
            <w:tcW w:type="dxa" w:w="85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5</w:t>
            </w:r>
          </w:p>
        </w:tc>
        <w:tc>
          <w:tcPr>
            <w:tcW w:type="dxa" w:w="16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pPr>
              <w:jc w:val="center"/>
            </w:pPr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警告</w:t>
            </w:r>
          </w:p>
        </w:tc>
        <w:tc>
          <w:tcPr>
            <w:tcW w:type="dxa" w:w="481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应急处置内容不完整</w:t>
            </w:r>
          </w:p>
        </w:tc>
        <w:tc>
          <w:tcPr>
            <w:tcW w:type="dxa" w:w="210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Calibri" w:hAnsi="Calibri" w:eastAsia="Microsoft YaHei"/>
                <w:b w:val="0"/>
                <w:color w:val="1F2937"/>
                <w:sz w:val="22"/>
              </w:rPr>
              <w:t>补充响应流程和撤离路线</w:t>
            </w:r>
          </w:p>
        </w:tc>
      </w:tr>
    </w:tbl>
    <w:p>
      <w:pPr>
        <w:pStyle w:val="Heading1"/>
        <w:keepNext/>
      </w:pPr>
      <w:r>
        <w:t>三、详细审查意见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B42318"/>
          <w:sz w:val="24"/>
        </w:rPr>
        <w:t xml:space="preserve">1. [严重] </w:t>
      </w:r>
      <w:r>
        <w:rPr>
          <w:rFonts w:ascii="Calibri" w:hAnsi="Calibri" w:eastAsia="Microsoft YaHei"/>
          <w:b/>
          <w:color w:val="1F2937"/>
          <w:sz w:val="24"/>
        </w:rPr>
        <w:t>连墙件布置参数前后不一致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方案证据：</w:t>
      </w:r>
      <w:r>
        <w:rPr>
          <w:rFonts w:ascii="Calibri" w:hAnsi="Calibri" w:eastAsia="Microsoft YaHei"/>
          <w:b w:val="0"/>
          <w:color w:val="1F2937"/>
          <w:sz w:val="22"/>
        </w:rPr>
        <w:t>方案正文写明“连墙件按三步三跨布置”，计算与构造说明采用“两步三跨”控制。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法规/规则依据：</w:t>
      </w:r>
      <w:r>
        <w:rPr>
          <w:rFonts w:ascii="Calibri" w:hAnsi="Calibri" w:eastAsia="Microsoft YaHei"/>
          <w:b w:val="0"/>
          <w:color w:val="1F2937"/>
          <w:sz w:val="22"/>
        </w:rPr>
        <w:t>项目内部参数一致性检查；正式结论应结合现行脚手架安全技术标准原文复核。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具体差距：</w:t>
      </w:r>
      <w:r>
        <w:rPr>
          <w:rFonts w:ascii="Calibri" w:hAnsi="Calibri" w:eastAsia="Microsoft YaHei"/>
          <w:b w:val="0"/>
          <w:color w:val="1F2937"/>
          <w:sz w:val="22"/>
        </w:rPr>
        <w:t>正文、计算书与构造图采用不同参数，现场交底和搭设无法形成唯一执行依据。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整改建议：</w:t>
      </w:r>
      <w:r>
        <w:rPr>
          <w:rFonts w:ascii="Calibri" w:hAnsi="Calibri" w:eastAsia="Microsoft YaHei"/>
          <w:b w:val="0"/>
          <w:color w:val="1F2937"/>
          <w:sz w:val="22"/>
        </w:rPr>
        <w:t>统一正文、计算书和节点图参数；按最终布置重新复核架体稳定性，并完成审批后交底。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B42318"/>
          <w:sz w:val="24"/>
        </w:rPr>
        <w:t xml:space="preserve">2. [严重] </w:t>
      </w:r>
      <w:r>
        <w:rPr>
          <w:rFonts w:ascii="Calibri" w:hAnsi="Calibri" w:eastAsia="Microsoft YaHei"/>
          <w:b/>
          <w:color w:val="1F2937"/>
          <w:sz w:val="24"/>
        </w:rPr>
        <w:t>立杆基础缺少承载力验算依据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方案证据：</w:t>
      </w:r>
      <w:r>
        <w:rPr>
          <w:rFonts w:ascii="Calibri" w:hAnsi="Calibri" w:eastAsia="Microsoft YaHei"/>
          <w:b w:val="0"/>
          <w:color w:val="1F2937"/>
          <w:sz w:val="22"/>
        </w:rPr>
        <w:t>方案仅写“地面夯实后设置垫板”，未提供地基承载力取值、垫板规格和沉降控制要求。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法规/规则依据：</w:t>
      </w:r>
      <w:r>
        <w:rPr>
          <w:rFonts w:ascii="Calibri" w:hAnsi="Calibri" w:eastAsia="Microsoft YaHei"/>
          <w:b w:val="0"/>
          <w:color w:val="1F2937"/>
          <w:sz w:val="22"/>
        </w:rPr>
        <w:t>基础承载与稳定性属于脚手架方案关键控制内容；正式法规条款应由知识库召回后引用。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具体差距：</w:t>
      </w:r>
      <w:r>
        <w:rPr>
          <w:rFonts w:ascii="Calibri" w:hAnsi="Calibri" w:eastAsia="Microsoft YaHei"/>
          <w:b w:val="0"/>
          <w:color w:val="1F2937"/>
          <w:sz w:val="22"/>
        </w:rPr>
        <w:t>缺少可复核的计算参数，无法判断基础是否满足架体荷载和不均匀沉降控制要求。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整改建议：</w:t>
      </w:r>
      <w:r>
        <w:rPr>
          <w:rFonts w:ascii="Calibri" w:hAnsi="Calibri" w:eastAsia="Microsoft YaHei"/>
          <w:b w:val="0"/>
          <w:color w:val="1F2937"/>
          <w:sz w:val="22"/>
        </w:rPr>
        <w:t>补充地基承载力参数、荷载组合、垫板规格、排水做法和沉降巡查要求。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B54708"/>
          <w:sz w:val="24"/>
        </w:rPr>
        <w:t xml:space="preserve">3. [警告] </w:t>
      </w:r>
      <w:r>
        <w:rPr>
          <w:rFonts w:ascii="Calibri" w:hAnsi="Calibri" w:eastAsia="Microsoft YaHei"/>
          <w:b/>
          <w:color w:val="1F2937"/>
          <w:sz w:val="24"/>
        </w:rPr>
        <w:t>卸料平台荷载控制措施不可执行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方案证据：</w:t>
      </w:r>
      <w:r>
        <w:rPr>
          <w:rFonts w:ascii="Calibri" w:hAnsi="Calibri" w:eastAsia="Microsoft YaHei"/>
          <w:b w:val="0"/>
          <w:color w:val="1F2937"/>
          <w:sz w:val="22"/>
        </w:rPr>
        <w:t>方案规定“严禁超载”，但未给出允许荷载、限载标识和材料堆放控制方式。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法规/规则依据：</w:t>
      </w:r>
      <w:r>
        <w:rPr>
          <w:rFonts w:ascii="Calibri" w:hAnsi="Calibri" w:eastAsia="Microsoft YaHei"/>
          <w:b w:val="0"/>
          <w:color w:val="1F2937"/>
          <w:sz w:val="22"/>
        </w:rPr>
        <w:t>现场措施必须具有明确参数、责任和可检查记录。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具体差距：</w:t>
      </w:r>
      <w:r>
        <w:rPr>
          <w:rFonts w:ascii="Calibri" w:hAnsi="Calibri" w:eastAsia="Microsoft YaHei"/>
          <w:b w:val="0"/>
          <w:color w:val="1F2937"/>
          <w:sz w:val="22"/>
        </w:rPr>
        <w:t>仅有原则性要求，现场人员无法据此判断何时超载，也无法形成验收依据。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整改建议：</w:t>
      </w:r>
      <w:r>
        <w:rPr>
          <w:rFonts w:ascii="Calibri" w:hAnsi="Calibri" w:eastAsia="Microsoft YaHei"/>
          <w:b w:val="0"/>
          <w:color w:val="1F2937"/>
          <w:sz w:val="22"/>
        </w:rPr>
        <w:t>明确允许荷载和材料数量，悬挂限载牌，设置巡查责任人并形成每日检查记录。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B54708"/>
          <w:sz w:val="24"/>
        </w:rPr>
        <w:t xml:space="preserve">4. [警告] </w:t>
      </w:r>
      <w:r>
        <w:rPr>
          <w:rFonts w:ascii="Calibri" w:hAnsi="Calibri" w:eastAsia="Microsoft YaHei"/>
          <w:b/>
          <w:color w:val="1F2937"/>
          <w:sz w:val="24"/>
        </w:rPr>
        <w:t>缺少施工监测专项章节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方案证据：</w:t>
      </w:r>
      <w:r>
        <w:rPr>
          <w:rFonts w:ascii="Calibri" w:hAnsi="Calibri" w:eastAsia="Microsoft YaHei"/>
          <w:b w:val="0"/>
          <w:color w:val="1F2937"/>
          <w:sz w:val="22"/>
        </w:rPr>
        <w:t>当前方案目录未检出“施工监测”或等效章节。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法规/规则依据：</w:t>
      </w:r>
      <w:r>
        <w:rPr>
          <w:rFonts w:ascii="Calibri" w:hAnsi="Calibri" w:eastAsia="Microsoft YaHei"/>
          <w:b w:val="0"/>
          <w:color w:val="1F2937"/>
          <w:sz w:val="22"/>
        </w:rPr>
        <w:t>结构完整性规则：专项方案应明确施工期间的检查、监测和异常处置安排。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具体差距：</w:t>
      </w:r>
      <w:r>
        <w:rPr>
          <w:rFonts w:ascii="Calibri" w:hAnsi="Calibri" w:eastAsia="Microsoft YaHei"/>
          <w:b w:val="0"/>
          <w:color w:val="1F2937"/>
          <w:sz w:val="22"/>
        </w:rPr>
        <w:t>缺少监测项目、频率、预警值及异常后的停工处置条件。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整改建议：</w:t>
      </w:r>
      <w:r>
        <w:rPr>
          <w:rFonts w:ascii="Calibri" w:hAnsi="Calibri" w:eastAsia="Microsoft YaHei"/>
          <w:b w:val="0"/>
          <w:color w:val="1F2937"/>
          <w:sz w:val="22"/>
        </w:rPr>
        <w:t>补充架体垂直度、沉降、连接节点等监测项目，并明确频率、阈值和责任人。</w:t>
      </w:r>
    </w:p>
    <w:p>
      <w:pPr>
        <w:keepNext/>
        <w:spacing w:before="200" w:after="100"/>
      </w:pPr>
      <w:r>
        <w:rPr>
          <w:rFonts w:ascii="Calibri" w:hAnsi="Calibri" w:eastAsia="Microsoft YaHei"/>
          <w:b/>
          <w:color w:val="B54708"/>
          <w:sz w:val="24"/>
        </w:rPr>
        <w:t xml:space="preserve">5. [警告] </w:t>
      </w:r>
      <w:r>
        <w:rPr>
          <w:rFonts w:ascii="Calibri" w:hAnsi="Calibri" w:eastAsia="Microsoft YaHei"/>
          <w:b/>
          <w:color w:val="1F2937"/>
          <w:sz w:val="24"/>
        </w:rPr>
        <w:t>应急处置内容不完整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方案证据：</w:t>
      </w:r>
      <w:r>
        <w:rPr>
          <w:rFonts w:ascii="Calibri" w:hAnsi="Calibri" w:eastAsia="Microsoft YaHei"/>
          <w:b w:val="0"/>
          <w:color w:val="1F2937"/>
          <w:sz w:val="22"/>
        </w:rPr>
        <w:t>应急预案仅列出联系电话，未见险情分级、响应流程、撤离路线和救援资源。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法规/规则依据：</w:t>
      </w:r>
      <w:r>
        <w:rPr>
          <w:rFonts w:ascii="Calibri" w:hAnsi="Calibri" w:eastAsia="Microsoft YaHei"/>
          <w:b w:val="0"/>
          <w:color w:val="1F2937"/>
          <w:sz w:val="22"/>
        </w:rPr>
        <w:t>结构完整性和现场可执行性规则。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具体差距：</w:t>
      </w:r>
      <w:r>
        <w:rPr>
          <w:rFonts w:ascii="Calibri" w:hAnsi="Calibri" w:eastAsia="Microsoft YaHei"/>
          <w:b w:val="0"/>
          <w:color w:val="1F2937"/>
          <w:sz w:val="22"/>
        </w:rPr>
        <w:t>发生倾斜、沉降或局部失稳征兆时，无法依据方案快速组织停工、警戒和撤离。</w:t>
      </w:r>
    </w:p>
    <w:p>
      <w:pPr>
        <w:spacing w:after="80"/>
        <w:ind w:left="259"/>
      </w:pPr>
      <w:r>
        <w:rPr>
          <w:rFonts w:ascii="Calibri" w:hAnsi="Calibri" w:eastAsia="Microsoft YaHei"/>
          <w:b/>
          <w:color w:val="667085"/>
          <w:sz w:val="22"/>
        </w:rPr>
        <w:t>整改建议：</w:t>
      </w:r>
      <w:r>
        <w:rPr>
          <w:rFonts w:ascii="Calibri" w:hAnsi="Calibri" w:eastAsia="Microsoft YaHei"/>
          <w:b w:val="0"/>
          <w:color w:val="1F2937"/>
          <w:sz w:val="22"/>
        </w:rPr>
        <w:t>补充险情分级、响应程序、人员撤离路线、警戒范围、救援物资和外部联络机制。</w:t>
      </w:r>
    </w:p>
    <w:p>
      <w:pPr>
        <w:pStyle w:val="Heading1"/>
        <w:keepNext/>
      </w:pPr>
      <w:r>
        <w:t>四、人工复核与整改闭环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由方案编制人员逐项补充或修订，并标注修改章节。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由项目技术负责人核对参数、计算书和节点图的一致性。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涉及法规条款的结论应使用现行有效规范原文复核，不得仅依据本演示报告。</w:t>
      </w:r>
    </w:p>
    <w:p>
      <w:pPr>
        <w:pStyle w:val="ListNumber"/>
      </w:pPr>
      <w:r>
        <w:rPr>
          <w:rFonts w:ascii="Calibri" w:hAnsi="Calibri" w:eastAsia="Microsoft YaHei"/>
          <w:b w:val="0"/>
          <w:color w:val="1F2937"/>
          <w:sz w:val="22"/>
        </w:rPr>
        <w:t>整改完成后重新提交系统审查，并保存审查前后版本及复核记录。</w:t>
      </w:r>
    </w:p>
    <w:p>
      <w:pPr>
        <w:spacing w:before="280" w:after="0"/>
      </w:pPr>
      <w:r>
        <w:rPr>
          <w:rFonts w:ascii="Calibri" w:hAnsi="Calibri" w:eastAsia="Microsoft YaHei"/>
          <w:b/>
          <w:color w:val="B42318"/>
          <w:sz w:val="22"/>
        </w:rPr>
        <w:t>重要说明：</w:t>
      </w:r>
      <w:r>
        <w:rPr>
          <w:rFonts w:ascii="Calibri" w:hAnsi="Calibri" w:eastAsia="Microsoft YaHei"/>
          <w:b w:val="0"/>
          <w:color w:val="667085"/>
          <w:sz w:val="22"/>
        </w:rPr>
        <w:t>本文件为界面与导出功能演示产物，不替代法定审查、专家论证或项目技术负责人签署意见。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296" w:bottom="1123" w:left="1296" w:header="547" w:footer="54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icrosoft YaHei"/>
        <w:b w:val="0"/>
        <w:color w:val="667085"/>
        <w:sz w:val="17"/>
      </w:rPr>
      <w:t xml:space="preserve">演示报告  ·  第 </w:t>
    </w:r>
    <w:r>
      <w:fldChar w:fldCharType="begin"/>
      <w:instrText xml:space="preserve">PAGE</w:instrText>
      <w:fldChar w:fldCharType="separate"/>
      <w:t>1</w:t>
      <w:fldChar w:fldCharType="end"/>
    </w:r>
    <w:r>
      <w:rPr>
        <w:rFonts w:ascii="Calibri" w:hAnsi="Calibri" w:eastAsia="Microsoft YaHei"/>
        <w:b w:val="0"/>
        <w:color w:val="667085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Calibri" w:hAnsi="Calibri" w:eastAsia="Microsoft YaHei"/>
        <w:b/>
        <w:color w:val="667085"/>
        <w:sz w:val="17"/>
      </w:rPr>
      <w:t>SMARTREVIEW  |  危大工程专项方案智能审查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677F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344054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脚手架专项方案演示审查报告</dc:title>
  <dc:subject>SmartReview演示导出结果</dc:subject>
  <dc:creator>SmartReview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