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Memo — Reframe (Building Decarbonization)</w:t>
      </w:r>
    </w:p>
    <w:p>
      <w:r>
        <w:t>Classification: INTERNAL — VoLo Earth Investment Committee. Sector: Building Decarbonization. Stage: Series A. Round size: $4.0M.</w:t>
      </w:r>
    </w:p>
    <w:p>
      <w:pPr>
        <w:pStyle w:val="Heading1"/>
      </w:pPr>
      <w:r>
        <w:t>1. Executive Summary</w:t>
      </w:r>
    </w:p>
    <w:p>
      <w:r>
        <w:t>Reframe is a building decarbonization company addressing a large and growing decarbonization market. We recommend a $2.0M investment at a $13M pre-money valuation ($15M post-money), for approximately 13.3% ownership on a fully diluted basis. The thesis rests on a differentiated technology, an experienced team, and early commercial validation.</w:t>
      </w:r>
    </w:p>
    <w:p>
      <w:pPr>
        <w:pStyle w:val="Heading1"/>
      </w:pPr>
      <w:r>
        <w:t>2. Company &amp; Team</w:t>
      </w:r>
    </w:p>
    <w:p>
      <w:r>
        <w:t>Founded by repeat operators with deep domain expertise, Reframe has grown to 14 employees. The founding team previously scaled hardware and software in adjacent climate markets.</w:t>
      </w:r>
    </w:p>
    <w:p>
      <w:pPr>
        <w:pStyle w:val="Heading1"/>
      </w:pPr>
      <w:r>
        <w:t>3. Market &amp; TAM</w:t>
      </w:r>
    </w:p>
    <w:p>
      <w:r>
        <w:t>We estimate a serviceable addressable market exceeding $0B, driven by regulatory tailwinds, corporate net-zero commitments, and falling technology costs. The beachhead segment alone represents a multi-hundred-million-dollar opportunity.</w:t>
      </w:r>
    </w:p>
    <w:p>
      <w:pPr>
        <w:pStyle w:val="Heading1"/>
      </w:pPr>
      <w:r>
        <w:t>4. Product &amp; Technology</w:t>
      </w:r>
    </w:p>
    <w:p>
      <w:r>
        <w:t>The core technology has been validated at pilot scale and is protected by a growing patent portfolio. Key technical risks relate to scale-up yield and unit economics at commercial volume, addressed in technical diligence.</w:t>
      </w:r>
    </w:p>
    <w:p>
      <w:pPr>
        <w:pStyle w:val="Heading1"/>
      </w:pPr>
      <w:r>
        <w:t>5. Traction &amp;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FY22</w:t>
            </w:r>
          </w:p>
        </w:tc>
        <w:tc>
          <w:tcPr>
            <w:tcW w:type="dxa" w:w="2160"/>
          </w:tcPr>
          <w:p>
            <w:r>
              <w:t>FY23</w:t>
            </w:r>
          </w:p>
        </w:tc>
        <w:tc>
          <w:tcPr>
            <w:tcW w:type="dxa" w:w="2160"/>
          </w:tcPr>
          <w:p>
            <w:r>
              <w:t>FY24</w:t>
            </w:r>
          </w:p>
        </w:tc>
      </w:tr>
      <w:tr>
        <w:tc>
          <w:tcPr>
            <w:tcW w:type="dxa" w:w="2160"/>
          </w:tcPr>
          <w:p>
            <w:r>
              <w:t>Revenue ($M)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ARR ($M)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Gross margin %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</w:tbl>
    <w:p>
      <w:pPr>
        <w:pStyle w:val="Heading1"/>
      </w:pPr>
      <w:r>
        <w:t>6. Business Model &amp; Unit Economics</w:t>
      </w:r>
    </w:p>
    <w:p>
      <w:r>
        <w:t>Revenue is a blend of product sales and recurring software/service contracts. Contribution margin improves materially with scale as fixed manufacturing and platform costs are absorbed.</w:t>
      </w:r>
    </w:p>
    <w:p>
      <w:pPr>
        <w:pStyle w:val="Heading1"/>
      </w:pPr>
      <w:r>
        <w:t>7. Financials &amp; Projections</w:t>
      </w:r>
    </w:p>
    <w:p>
      <w:r>
        <w:t>FY24 revenue of $1.1M with a monthly net burn of ~$300K and $3.0M of cash, implying ~14 months of runway pre-round.</w:t>
      </w:r>
    </w:p>
    <w:p>
      <w:pPr>
        <w:pStyle w:val="Heading1"/>
      </w:pPr>
      <w:r>
        <w:t>8. Deal Terms</w:t>
      </w:r>
    </w:p>
    <w:p>
      <w:pPr>
        <w:pStyle w:val="ListBullet"/>
      </w:pPr>
      <w:r>
        <w:t>Security: Series A Preferred Stock at $2.10/share.</w:t>
      </w:r>
    </w:p>
    <w:p>
      <w:pPr>
        <w:pStyle w:val="ListBullet"/>
      </w:pPr>
      <w:r>
        <w:t>Liquidation preference: 1x non-participating.</w:t>
      </w:r>
    </w:p>
    <w:p>
      <w:pPr>
        <w:pStyle w:val="ListBullet"/>
      </w:pPr>
      <w:r>
        <w:t>Board: one VoLo seat; standard protective provisions.</w:t>
      </w:r>
    </w:p>
    <w:p>
      <w:pPr>
        <w:pStyle w:val="ListBullet"/>
      </w:pPr>
      <w:r>
        <w:t>Pro-rata rights and information rights granted.</w:t>
      </w:r>
    </w:p>
    <w:p>
      <w:pPr>
        <w:pStyle w:val="Heading1"/>
      </w:pPr>
      <w:r>
        <w:t>9. Risks &amp; Mitigants</w:t>
      </w:r>
    </w:p>
    <w:p>
      <w:pPr>
        <w:pStyle w:val="ListBullet"/>
      </w:pPr>
      <w:r>
        <w:t>Scale-up / manufacturing risk — staged milestone-based financing.</w:t>
      </w:r>
    </w:p>
    <w:p>
      <w:pPr>
        <w:pStyle w:val="ListBullet"/>
      </w:pPr>
      <w:r>
        <w:t>Customer concentration — active pipeline diversification.</w:t>
      </w:r>
    </w:p>
    <w:p>
      <w:pPr>
        <w:pStyle w:val="ListBullet"/>
      </w:pPr>
      <w:r>
        <w:t>Policy dependence — economics modeled with and without subsidies.</w:t>
      </w:r>
    </w:p>
    <w:p>
      <w:pPr>
        <w:pStyle w:val="Heading1"/>
      </w:pPr>
      <w:r>
        <w:t>10. Impact Thesis</w:t>
      </w:r>
    </w:p>
    <w:p>
      <w:r>
        <w:t>At scale, Reframe is projected to abate 40,000 tCO2e annually, aligning with VoLo Earth's climate mandate.</w:t>
      </w:r>
    </w:p>
    <w:p>
      <w:pPr>
        <w:pStyle w:val="Heading1"/>
      </w:pPr>
      <w:r>
        <w:t>11. Recommendation</w:t>
      </w:r>
    </w:p>
    <w:p>
      <w:r>
        <w:t>APPROVE a $2.0M investment, subject to confirmatory diligence and final legal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