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ox3vod8nre0d" w:id="0"/>
      <w:bookmarkEnd w:id="0"/>
      <w:r w:rsidDel="00000000" w:rsidR="00000000" w:rsidRPr="00000000">
        <w:rPr>
          <w:b w:val="1"/>
          <w:bCs w:val="1"/>
          <w:sz w:val="46"/>
          <w:szCs w:val="46"/>
          <w:rtl w:val="0"/>
        </w:rPr>
        <w:t xml:space="preserve">XGS Energy Investment Memo</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3o2opgxa1pit" w:id="1"/>
      <w:bookmarkEnd w:id="1"/>
      <w:r w:rsidDel="00000000" w:rsidR="00000000" w:rsidRPr="00000000">
        <w:rPr>
          <w:b w:val="1"/>
          <w:bCs w:val="1"/>
          <w:sz w:val="34"/>
          <w:szCs w:val="34"/>
          <w:rtl w:val="0"/>
        </w:rPr>
        <w:t xml:space="preserve">Executive Summary</w:t>
      </w:r>
    </w:p>
    <w:p w:rsidR="00000000" w:rsidDel="00000000" w:rsidP="00000000" w:rsidRDefault="00000000" w:rsidRPr="00000000" w14:paraId="00000003">
      <w:pPr>
        <w:spacing w:after="240" w:before="240" w:lineRule="auto"/>
        <w:rPr/>
      </w:pPr>
      <w:r w:rsidDel="00000000" w:rsidR="00000000" w:rsidRPr="00000000">
        <w:rPr>
          <w:rtl w:val="0"/>
        </w:rPr>
        <w:t xml:space="preserve">XGS Energy has secured significant commercial momentum with 185 MW of firm offtake agreements and 715 MW in indicative commitments, positioning the company for ~$800M annual revenue potential at full scale. The company is raising $25M with a $2.5M gap remaining, supported by strong strategic partnerships with Baker Hughes and TEP's $100M DevCo term sheet.</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1r2lqkla1wdi" w:id="2"/>
      <w:bookmarkEnd w:id="2"/>
      <w:r w:rsidDel="00000000" w:rsidR="00000000" w:rsidRPr="00000000">
        <w:rPr>
          <w:b w:val="1"/>
          <w:bCs w:val="1"/>
          <w:sz w:val="34"/>
          <w:szCs w:val="34"/>
          <w:rtl w:val="0"/>
        </w:rPr>
        <w:t xml:space="preserve">Team</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Leadership</w:t>
      </w:r>
      <w:r w:rsidDel="00000000" w:rsidR="00000000" w:rsidRPr="00000000">
        <w:rPr>
          <w:rtl w:val="0"/>
        </w:rPr>
        <w:t xml:space="preserve">: Lucy Darago, Ph.D. and Josh Prueher lead XGS Energy's commercial and technical execution. The team has demonstrated strong partnership development capabilities, securing relationships with major counterparties including Meta, Constellation, and Baker Hughes.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Advisory Network</w:t>
      </w:r>
      <w:r w:rsidDel="00000000" w:rsidR="00000000" w:rsidRPr="00000000">
        <w:rPr>
          <w:rtl w:val="0"/>
        </w:rPr>
        <w:t xml:space="preserve">: The company benefits from an extensive investor and advisor network including former government officials, energy industry veterans, and climate-focused investors, as evidenced by the broad participation in capital raise meetings.</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njtq0o1r5m1m" w:id="3"/>
      <w:bookmarkEnd w:id="3"/>
      <w:r w:rsidDel="00000000" w:rsidR="00000000" w:rsidRPr="00000000">
        <w:rPr>
          <w:b w:val="1"/>
          <w:bCs w:val="1"/>
          <w:sz w:val="34"/>
          <w:szCs w:val="34"/>
          <w:rtl w:val="0"/>
        </w:rPr>
        <w:t xml:space="preserve">Commercial</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Contracted Revenue</w:t>
      </w:r>
      <w:r w:rsidDel="00000000" w:rsidR="00000000" w:rsidRPr="00000000">
        <w:rPr>
          <w:rtl w:val="0"/>
        </w:rPr>
        <w:t xml:space="preserve">: 185 MW in firm offtake agreements generating expected pricing of $100-120/MWh over 15-20 year contracts:</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rtl w:val="0"/>
        </w:rPr>
        <w:t xml:space="preserve">35 MW with Constellation (Kaiso market)</w:t>
        <w:br w:type="textWrapping"/>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150 MW with Meta (New Mexico)</w:t>
        <w:br w:type="textWrapping"/>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rtl w:val="0"/>
        </w:rPr>
        <w:t xml:space="preserve">Upside potential &gt;$120/MWh as Kaiso market tightens</w:t>
        <w:br w:type="textWrapping"/>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Pipeline Development</w:t>
      </w:r>
      <w:r w:rsidDel="00000000" w:rsidR="00000000" w:rsidRPr="00000000">
        <w:rPr>
          <w:rtl w:val="0"/>
        </w:rPr>
        <w:t xml:space="preserve">: Additional 715 MW in indicative commitments at similar pricing:</w:t>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rtl w:val="0"/>
        </w:rPr>
        <w:t xml:space="preserve">600 MW additional Meta demand</w:t>
        <w:br w:type="textWrapping"/>
      </w:r>
    </w:p>
    <w:p w:rsidR="00000000" w:rsidDel="00000000" w:rsidP="00000000" w:rsidRDefault="00000000" w:rsidRPr="00000000" w14:paraId="0000000E">
      <w:pPr>
        <w:numPr>
          <w:ilvl w:val="0"/>
          <w:numId w:val="3"/>
        </w:numPr>
        <w:spacing w:after="240" w:before="0" w:beforeAutospacing="0" w:lineRule="auto"/>
        <w:ind w:left="720" w:hanging="360"/>
      </w:pPr>
      <w:r w:rsidDel="00000000" w:rsidR="00000000" w:rsidRPr="00000000">
        <w:rPr>
          <w:rtl w:val="0"/>
        </w:rPr>
        <w:t xml:space="preserve">115 MW CC Power (California Community Choice aggregators)</w:t>
        <w:br w:type="textWrapping"/>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Revenue Model</w:t>
      </w:r>
      <w:r w:rsidDel="00000000" w:rsidR="00000000" w:rsidRPr="00000000">
        <w:rPr>
          <w:rtl w:val="0"/>
        </w:rPr>
        <w:t xml:space="preserve">: XGS captures 4% engineering services fee ($400k/MW) generating $360M one-time engineering revenue across the 900 MW pipeline.</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i0zk7rt78lsm" w:id="4"/>
      <w:bookmarkEnd w:id="4"/>
      <w:r w:rsidDel="00000000" w:rsidR="00000000" w:rsidRPr="00000000">
        <w:rPr>
          <w:b w:val="1"/>
          <w:bCs w:val="1"/>
          <w:sz w:val="34"/>
          <w:szCs w:val="34"/>
          <w:rtl w:val="0"/>
        </w:rPr>
        <w:t xml:space="preserve">Technology &amp; Market</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Competitive Positioning</w:t>
      </w:r>
      <w:r w:rsidDel="00000000" w:rsidR="00000000" w:rsidRPr="00000000">
        <w:rPr>
          <w:rtl w:val="0"/>
        </w:rPr>
        <w:t xml:space="preserve">: Target LCOE sub-$100/MWh at scale, competitive with CCGT pricing ($100/MWh in Texas). California benchmarks show wind &gt;$75/MWh and solar &gt;$62/MWh, with clean firm premium potentially driving ISO pricing &gt;$130/MWh.</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Scale Strategy</w:t>
      </w:r>
      <w:r w:rsidDel="00000000" w:rsidR="00000000" w:rsidRPr="00000000">
        <w:rPr>
          <w:rtl w:val="0"/>
        </w:rPr>
        <w:t xml:space="preserve">: Factory production approach requiring 1,000+ wells minimum, with Baker Hughes projecting 30% cost reduction from first to scale wells. The New Mexico site offers 750 MW total capacity with Meta interested in full scale development.</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Technology Partnership</w:t>
      </w:r>
      <w:r w:rsidDel="00000000" w:rsidR="00000000" w:rsidRPr="00000000">
        <w:rPr>
          <w:rtl w:val="0"/>
        </w:rPr>
        <w:t xml:space="preserve">: Strong momentum with Baker Hughes partnership, featuring XGS as cornerstone speaker at their annual meeting as the only geothermal company on the panel. The partnership includes MOU execution and MSA development with IP protections.</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qtxutaf6lroi" w:id="5"/>
      <w:bookmarkEnd w:id="5"/>
      <w:r w:rsidDel="00000000" w:rsidR="00000000" w:rsidRPr="00000000">
        <w:rPr>
          <w:b w:val="1"/>
          <w:bCs w:val="1"/>
          <w:sz w:val="34"/>
          <w:szCs w:val="34"/>
          <w:rtl w:val="0"/>
        </w:rPr>
        <w:t xml:space="preserve">Financing</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Current Round</w:t>
      </w:r>
      <w:r w:rsidDel="00000000" w:rsidR="00000000" w:rsidRPr="00000000">
        <w:rPr>
          <w:rtl w:val="0"/>
        </w:rPr>
        <w:t xml:space="preserve">: $25M target with $2.5M gap remaining for January 29th first closing:</w:t>
      </w:r>
    </w:p>
    <w:p w:rsidR="00000000" w:rsidDel="00000000" w:rsidP="00000000" w:rsidRDefault="00000000" w:rsidRPr="00000000" w14:paraId="00000016">
      <w:pPr>
        <w:numPr>
          <w:ilvl w:val="0"/>
          <w:numId w:val="1"/>
        </w:numPr>
        <w:spacing w:after="0" w:afterAutospacing="0" w:before="240" w:lineRule="auto"/>
        <w:ind w:left="720" w:hanging="360"/>
      </w:pPr>
      <w:r w:rsidDel="00000000" w:rsidR="00000000" w:rsidRPr="00000000">
        <w:rPr>
          <w:rtl w:val="0"/>
        </w:rPr>
        <w:t xml:space="preserve">MIH increased commitment from $4.5M to $5M</w:t>
        <w:br w:type="textWrapping"/>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PTEP/Explore: $5M lead investment proceeding to legal docs</w:t>
        <w:br w:type="textWrapping"/>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rtl w:val="0"/>
        </w:rPr>
        <w:t xml:space="preserve">Clear Sky considering $7-10M for super pro rata/board seat</w:t>
        <w:br w:type="textWrapping"/>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Strategic Capital</w:t>
      </w:r>
      <w:r w:rsidDel="00000000" w:rsidR="00000000" w:rsidRPr="00000000">
        <w:rPr>
          <w:rtl w:val="0"/>
        </w:rPr>
        <w:t xml:space="preserve">: TEP partnership provides $100M DevCo term sheet as non-dilutive development capital. Earlier discussions included counter-proposal for $20M TopCo investment at $250M pre-money valuation plus $80M DevCo commitment.</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Project Economics</w:t>
      </w:r>
      <w:r w:rsidDel="00000000" w:rsidR="00000000" w:rsidRPr="00000000">
        <w:rPr>
          <w:rtl w:val="0"/>
        </w:rPr>
        <w:t xml:space="preserve">: $10-12M/MW project CapEx supports profitable execution at current contracted pricing levels. Scale-driven approach critical for cost competitiveness, with small projects (&lt;35 MW) abandoned due to poor economics.</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Next Value Catalysts</w:t>
      </w:r>
      <w:r w:rsidDel="00000000" w:rsidR="00000000" w:rsidRPr="00000000">
        <w:rPr>
          <w:rtl w:val="0"/>
        </w:rPr>
        <w:t xml:space="preserve">:</w:t>
      </w:r>
    </w:p>
    <w:p w:rsidR="00000000" w:rsidDel="00000000" w:rsidP="00000000" w:rsidRDefault="00000000" w:rsidRPr="00000000" w14:paraId="0000001C">
      <w:pPr>
        <w:numPr>
          <w:ilvl w:val="0"/>
          <w:numId w:val="4"/>
        </w:numPr>
        <w:spacing w:after="0" w:afterAutospacing="0" w:before="240" w:lineRule="auto"/>
        <w:ind w:left="720" w:hanging="360"/>
      </w:pPr>
      <w:r w:rsidDel="00000000" w:rsidR="00000000" w:rsidRPr="00000000">
        <w:rPr>
          <w:rtl w:val="0"/>
        </w:rPr>
        <w:t xml:space="preserve">Firm Meta offtake agreement enabling TEP deal execution</w:t>
        <w:br w:type="textWrapping"/>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rtl w:val="0"/>
        </w:rPr>
        <w:t xml:space="preserve">Supply agreements with Baker Hughes</w:t>
        <w:br w:type="textWrapping"/>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rtl w:val="0"/>
        </w:rPr>
        <w:t xml:space="preserve">Surface EPC contracts</w:t>
        <w:br w:type="textWrapping"/>
      </w:r>
    </w:p>
    <w:p w:rsidR="00000000" w:rsidDel="00000000" w:rsidP="00000000" w:rsidRDefault="00000000" w:rsidRPr="00000000" w14:paraId="0000001F">
      <w:pPr>
        <w:numPr>
          <w:ilvl w:val="0"/>
          <w:numId w:val="4"/>
        </w:numPr>
        <w:spacing w:after="240" w:before="0" w:beforeAutospacing="0" w:lineRule="auto"/>
        <w:ind w:left="720" w:hanging="360"/>
      </w:pPr>
      <w:r w:rsidDel="00000000" w:rsidR="00000000" w:rsidRPr="00000000">
        <w:rPr>
          <w:rtl w:val="0"/>
        </w:rPr>
        <w:t xml:space="preserve">New Mexico 3-5 MW demonstration project completion by end of year</w:t>
        <w:br w:type="textWrapping"/>
      </w:r>
    </w:p>
    <w:p w:rsidR="00000000" w:rsidDel="00000000" w:rsidP="00000000" w:rsidRDefault="00000000" w:rsidRPr="00000000" w14:paraId="00000020">
      <w:pPr>
        <w:spacing w:after="240" w:before="240" w:lineRule="auto"/>
        <w:rPr/>
      </w:pPr>
      <w:r w:rsidDel="00000000" w:rsidR="00000000" w:rsidRPr="00000000">
        <w:rPr>
          <w:rtl w:val="0"/>
        </w:rPr>
        <w:t xml:space="preserve">The investment opportunity combines proven commercial traction with strategic partnerships positioned to capture significant value in the growing clean firm power market.</w:t>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