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81818"/>
          <w:sz w:val="40"/>
        </w:rPr>
        <w:t>Hongrui (Jack) Zhang</w:t>
      </w:r>
    </w:p>
    <w:p>
      <w:pPr>
        <w:spacing w:after="40"/>
        <w:jc w:val="center"/>
      </w:pPr>
      <w:r>
        <w:rPr>
          <w:b/>
          <w:color w:val="3C3C3C"/>
          <w:sz w:val="21"/>
        </w:rPr>
        <w:t>Computer Science Ph.D. Researcher | GPU Systems, Computer Architecture, and Data-Intensive Computing</w:t>
      </w:r>
    </w:p>
    <w:p>
      <w:pPr>
        <w:spacing w:after="40"/>
        <w:jc w:val="center"/>
      </w:pPr>
      <w:r>
        <w:t xml:space="preserve">Riverside, California  |  302-898-6341  |  jackzhang010603@gmail.com  |  </w:t>
      </w:r>
      <w:hyperlink r:id="rId9">
        <w:r>
          <w:rPr>
            <w:color w:val="1F4E79"/>
            <w:u w:val="single"/>
            <w:rFonts w:ascii="Arial" w:hAnsi="Arial"/>
            <w:sz w:val="20"/>
          </w:rPr>
          <w:t>LinkedIn</w:t>
        </w:r>
      </w:hyperlink>
      <w:r>
        <w:t xml:space="preserve">  |  </w:t>
      </w:r>
      <w:hyperlink r:id="rId10">
        <w:r>
          <w:rPr>
            <w:color w:val="1F4E79"/>
            <w:u w:val="single"/>
            <w:rFonts w:ascii="Arial" w:hAnsi="Arial"/>
            <w:sz w:val="20"/>
          </w:rPr>
          <w:t>hongruizhang.com</w:t>
        </w:r>
      </w:hyperlink>
    </w:p>
    <w:p>
      <w:pPr>
        <w:spacing w:after="80"/>
        <w:jc w:val="center"/>
      </w:pPr>
      <w:r>
        <w:rPr>
          <w:i/>
          <w:color w:val="696969"/>
          <w:sz w:val="17"/>
        </w:rPr>
        <w:t>MASTER RESUME - comprehensive source document; not intended for direct submission</w:t>
      </w:r>
    </w:p>
    <w:p>
      <w:pPr>
        <w:pStyle w:val="SectionHeading"/>
        <w:pBdr>
          <w:bottom w:val="single" w:sz="10" w:space="2" w:color="6D6D6D"/>
        </w:pBdr>
        <w:keepNext/>
      </w:pPr>
      <w:r>
        <w:t>RESEARCH SUMMARY</w:t>
      </w:r>
    </w:p>
    <w:p>
      <w:pPr>
        <w:spacing w:after="60"/>
      </w:pPr>
      <w:r>
        <w:t>Computer Science Ph.D. researcher in the Extreme Scale Computer Architecture Laboratory (ESCAL) at the University of California, Riverside, advised by Hung-Wei Tseng. Researches how widely available heterogeneous GPU resources can accelerate irregular and data-intensive workloads without requiring a dedicated accelerator for every application. Work spans ray-tracing-core sparse matrix multiplication, tree-based machine-learning inference, attention workload characterization, and matrix-native GPU query processing. Emphasizes algorithm-hardware mapping, system prototyping, correctness validation, experimental methodology, GPU profiling, and end-to-end performance.</w:t>
      </w:r>
    </w:p>
    <w:p>
      <w:pPr>
        <w:pStyle w:val="SectionHeading"/>
        <w:pBdr>
          <w:bottom w:val="single" w:sz="10" w:space="2" w:color="6D6D6D"/>
        </w:pBdr>
        <w:keepNext/>
      </w:pPr>
      <w:r>
        <w:t>EDUCATION</w:t>
      </w:r>
    </w:p>
    <w:p>
      <w:pPr>
        <w:pStyle w:val="RoleLine"/>
        <w:tabs>
          <w:tab w:pos="10152" w:val="right"/>
        </w:tabs>
        <w:keepNext/>
      </w:pPr>
      <w:r>
        <w:rPr>
          <w:b/>
        </w:rPr>
        <w:t>Ph.D. in Computer Science, University of California, Riverside</w:t>
      </w:r>
      <w:r>
        <w:tab/>
        <w:t>Sep 2024 - Expected Jun 2028</w:t>
      </w:r>
    </w:p>
    <w:p>
      <w:pPr>
        <w:pStyle w:val="Subtitle"/>
        <w:keepNext/>
      </w:pPr>
      <w:r>
        <w:t>Riverside, California | Advisor: Hung-Wei Tseng | ESCAL Laboratory</w:t>
      </w:r>
    </w:p>
    <w:p>
      <w:pPr>
        <w:pStyle w:val="Bullet"/>
        <w:keepLines/>
      </w:pPr>
      <w:r>
        <w:t>• Research focus: GPU systems, computer architecture, sparse and irregular computation, database query processing, and performance engineering.</w:t>
      </w:r>
    </w:p>
    <w:p>
      <w:pPr>
        <w:pStyle w:val="Bullet"/>
        <w:keepLines/>
      </w:pPr>
      <w:r>
        <w:t>• Passed the oral qualifying examination; presentation titled “Democratizing Ray Tracing Hardware” (May 4, 2026).</w:t>
      </w:r>
    </w:p>
    <w:p>
      <w:pPr>
        <w:pStyle w:val="RoleLine"/>
        <w:tabs>
          <w:tab w:pos="10152" w:val="right"/>
        </w:tabs>
        <w:keepNext/>
      </w:pPr>
      <w:r>
        <w:rPr>
          <w:b/>
        </w:rPr>
        <w:t>B.S. in Computer Engineering, University of California, San Diego</w:t>
      </w:r>
      <w:r>
        <w:tab/>
        <w:t>Sep 2019 - Sep 2023</w:t>
      </w:r>
    </w:p>
    <w:p>
      <w:pPr>
        <w:pStyle w:val="Subtitle"/>
        <w:keepNext/>
      </w:pPr>
      <w:r>
        <w:t>San Diego, California</w:t>
      </w:r>
    </w:p>
    <w:p>
      <w:pPr>
        <w:pStyle w:val="SectionHeading"/>
        <w:pBdr>
          <w:bottom w:val="single" w:sz="10" w:space="2" w:color="6D6D6D"/>
        </w:pBdr>
        <w:keepNext/>
      </w:pPr>
      <w:r>
        <w:t>RESEARCH EXPERIENCE</w:t>
      </w:r>
    </w:p>
    <w:p>
      <w:pPr>
        <w:pStyle w:val="RoleLine"/>
        <w:tabs>
          <w:tab w:pos="10152" w:val="right"/>
        </w:tabs>
        <w:keepNext/>
      </w:pPr>
      <w:r>
        <w:rPr>
          <w:b/>
        </w:rPr>
        <w:t>GPU-Accelerated Database Systems and Matrix-Native Query Processing</w:t>
      </w:r>
      <w:r>
        <w:tab/>
        <w:t>Jun 2026 - Present</w:t>
      </w:r>
    </w:p>
    <w:p>
      <w:pPr>
        <w:pStyle w:val="Subtitle"/>
        <w:keepNext/>
      </w:pPr>
      <w:r>
        <w:t>ESCAL Laboratory, UC Riverside | Advisor: Hung-Wei Tseng | Python, PyTorch, CUDA, SQL, cuSPARSE</w:t>
      </w:r>
    </w:p>
    <w:p>
      <w:pPr>
        <w:pStyle w:val="Bullet"/>
        <w:keepLines/>
      </w:pPr>
      <w:r>
        <w:t>• Developing a Python/PyTorch prototype that represents relational query dataflows through tensor and matrix primitives and studies fusion across filtering, joins, grouping, and aggregation rather than treating every relational operator as an isolated kernel.</w:t>
      </w:r>
    </w:p>
    <w:p>
      <w:pPr>
        <w:pStyle w:val="Bullet"/>
        <w:keepLines/>
      </w:pPr>
      <w:r>
        <w:t>• Implemented TQP-style tensor plans for all 22 TPC-H queries, covering equijoins, semi-joins and anti-joins, group-by aggregation, sorting, correlated subqueries, dictionary-encoded predicates, and result materialization.</w:t>
      </w:r>
    </w:p>
    <w:p>
      <w:pPr>
        <w:pStyle w:val="Bullet"/>
        <w:keepLines/>
      </w:pPr>
      <w:r>
        <w:t>• Built deterministic correctness validation against canonical SQL outputs and added regression tests for SQL empty-aggregate behavior in Q14, Q15, Q17, and Q19.</w:t>
      </w:r>
    </w:p>
    <w:p>
      <w:pPr>
        <w:pStyle w:val="Bullet"/>
        <w:keepLines/>
      </w:pPr>
      <w:r>
        <w:t>• Reproduced TCUDB microbenchmark patterns Q1, Q3, and Q4; implemented TCUDB-style sparse COO membership-matrix joins in PyTorch; and substituted the matrix formulation into TQP query plans.</w:t>
      </w:r>
    </w:p>
    <w:p>
      <w:pPr>
        <w:pStyle w:val="Bullet"/>
        <w:keepLines/>
      </w:pPr>
      <w:r>
        <w:t>• Characterized TPC-H SF10 join representations (approximately 10 GB of generated data), finding that many membership products had density below 0.04%, then measured compact encoding, sparse-format construction, multiplication, extraction, and remaining plan operations separately.</w:t>
      </w:r>
    </w:p>
    <w:p>
      <w:pPr>
        <w:pStyle w:val="Bullet"/>
        <w:keepLines/>
      </w:pPr>
      <w:r>
        <w:t>• Built an end-to-end paired benchmark from staged GPU tensors to final query results. Across 13 valid join-bearing comparisons, the original TQP plans were faster than the sparse matrix formulation because representation and sparse-format construction frequently dominated the matrix multiplication itself; additional queries exposed backend resource limits.</w:t>
      </w:r>
    </w:p>
    <w:p>
      <w:pPr>
        <w:pStyle w:val="Bullet"/>
        <w:keepLines/>
      </w:pPr>
      <w:r>
        <w:t>• Profiled Q1-Q20 and Q22 at SF10 and Q21 at SF2 on an NVIDIA RTX 5090 using PyTorch Profiler, Nsight Systems, Nsight Compute, and roofline analysis; measured a 63.029 TFLOP/s empirical TF32-disabled FP32 GEMM baseline and 1.575 TB/s empirical device bandwidth.</w:t>
      </w:r>
    </w:p>
    <w:p>
      <w:pPr>
        <w:pStyle w:val="Bullet"/>
        <w:keepLines/>
      </w:pPr>
      <w:r>
        <w:t>• Identified suite-level bottlenecks in scatter/atomic aggregation, sorting, and gather/index operations. Diagnosed Q1 as dominated by serialized contention on a small number of hot aggregation bins and observed representative element-wise arithmetic intensities of 0.114868 FLOP/byte for Q1 and 2.423e-4 FLOP/byte for Q3, both DRAM-bound.</w:t>
      </w:r>
    </w:p>
    <w:p>
      <w:pPr>
        <w:pStyle w:val="Bullet"/>
        <w:keepLines/>
      </w:pPr>
      <w:r>
        <w:t>• Designed a matrix-native dataflow and intermediate-representation direction with explicit tensor dimensions and fusion opportunities; implemented and correctness-validated the current Python prototype and is preparing implementation-level performance analysis.</w:t>
      </w:r>
    </w:p>
    <w:p>
      <w:pPr>
        <w:pStyle w:val="RoleLine"/>
        <w:tabs>
          <w:tab w:pos="10152" w:val="right"/>
        </w:tabs>
        <w:keepNext/>
      </w:pPr>
      <w:r>
        <w:rPr>
          <w:b/>
        </w:rPr>
        <w:t>RTBoost: Ray-Tracing-Based Gradient-Boosted Tree Inference</w:t>
      </w:r>
      <w:r>
        <w:tab/>
        <w:t>Jan 2026 - Jun 2026</w:t>
      </w:r>
    </w:p>
    <w:p>
      <w:pPr>
        <w:pStyle w:val="Subtitle"/>
        <w:keepNext/>
      </w:pPr>
      <w:r>
        <w:t>ESCAL Laboratory, UC Riverside | Advisor: Hung-Wei Tseng | Collaborator: Andy Li | OptiX, CUDA, XGBoost</w:t>
      </w:r>
    </w:p>
    <w:p>
      <w:pPr>
        <w:pStyle w:val="Bullet"/>
        <w:keepLines/>
      </w:pPr>
      <w:r>
        <w:t>• Designed a mapping from gradient-boosted decision-tree inference to ray-tracing acceleration structures, representing tree regions with axis-aligned bounding boxes and using ray traversal to evaluate batched inference queries.</w:t>
      </w:r>
    </w:p>
    <w:p>
      <w:pPr>
        <w:pStyle w:val="Bullet"/>
        <w:keepLines/>
      </w:pPr>
      <w:r>
        <w:t>• Implemented the model-processing, workload-generation, training, benchmarking, and early system components; collaborated with Andy Li on the final OptiX algorithm implementation.</w:t>
      </w:r>
    </w:p>
    <w:p>
      <w:pPr>
        <w:pStyle w:val="Bullet"/>
        <w:keepLines/>
      </w:pPr>
      <w:r>
        <w:t>• Designed controlled experimental workloads, trained XGBoost models, and evaluated synthetic three-dimensional forests across tree depths up to 12 and tree counts up to approximately 400 on RTX 4070, RTX 4090, and RTX 5090 GPUs.</w:t>
      </w:r>
    </w:p>
    <w:p>
      <w:pPr>
        <w:pStyle w:val="Bullet"/>
        <w:keepLines/>
      </w:pPr>
      <w:r>
        <w:t>• Validated a working RTBoost3D implementation on the SSMCR workload (110,204 three-dimensional points) and evaluated a second SUSY-3D workload, including large batched launches constrained by OptiX launch dimensions.</w:t>
      </w:r>
    </w:p>
    <w:p>
      <w:pPr>
        <w:pStyle w:val="Bullet"/>
        <w:keepLines/>
      </w:pPr>
      <w:r>
        <w:t>• Ran Nsight and memory-trace analyses to study memory coalescing, control-flow behavior, traversal efficiency, acceleration-structure layout, and AABB-fetch stalls; used the results to distinguish apparent speedups from failed kernel launches and invalid timing configurations.</w:t>
      </w:r>
    </w:p>
    <w:p>
      <w:pPr>
        <w:pStyle w:val="Bullet"/>
        <w:keepLines/>
      </w:pPr>
      <w:r>
        <w:t>• Co-designed and evaluated an alternative layout using a reusable base AABB and transformed instances. Preliminary valid cases improved the prior RTBoost version, but same-device comparisons remained slower than XGBoost; the project was paused after no robust performance advantage was found.</w:t>
      </w:r>
    </w:p>
    <w:p>
      <w:pPr>
        <w:pStyle w:val="RoleLine"/>
        <w:tabs>
          <w:tab w:pos="10152" w:val="right"/>
        </w:tabs>
        <w:keepNext/>
      </w:pPr>
      <w:r>
        <w:rPr>
          <w:b/>
        </w:rPr>
        <w:t>RTAttention: RT-Core Opportunity Analysis for Sparse Attention</w:t>
      </w:r>
      <w:r>
        <w:tab/>
        <w:t>Jun 2025 - Jan 2026</w:t>
      </w:r>
    </w:p>
    <w:p>
      <w:pPr>
        <w:pStyle w:val="Subtitle"/>
        <w:keepNext/>
      </w:pPr>
      <w:r>
        <w:t>ESCAL Laboratory, UC Riverside | Advisor: Hung-Wei Tseng | PyTorch, CUDA</w:t>
      </w:r>
    </w:p>
    <w:p>
      <w:pPr>
        <w:pStyle w:val="Bullet"/>
        <w:keepLines/>
      </w:pPr>
      <w:r>
        <w:t>• Investigated whether ray-tracing hardware could accelerate the matrix-multiplication component of key/value processing in attention mechanisms.</w:t>
      </w:r>
    </w:p>
    <w:p>
      <w:pPr>
        <w:pStyle w:val="Bullet"/>
        <w:keepLines/>
      </w:pPr>
      <w:r>
        <w:t>• Performed sparsity and inference-performance analyses based on sparse-attention workloads and the original sparse-attention research, focusing on whether nominal sparsity translated into a practically exploitable RT-core workload.</w:t>
      </w:r>
    </w:p>
    <w:p>
      <w:pPr>
        <w:pStyle w:val="Bullet"/>
        <w:keepLines/>
      </w:pPr>
      <w:r>
        <w:t>• Concluded that the targeted GEMM stage did not exhibit sufficient useful sparsity for a compelling ray-tracing mapping; stopped the project before prototype implementation and redirected effort to more promising workloads.</w:t>
      </w:r>
    </w:p>
    <w:p>
      <w:pPr>
        <w:pStyle w:val="RoleLine"/>
        <w:tabs>
          <w:tab w:pos="10152" w:val="right"/>
        </w:tabs>
        <w:keepNext/>
      </w:pPr>
      <w:r>
        <w:rPr>
          <w:b/>
        </w:rPr>
        <w:t>RTSpMSpM: Harnessing Ray Tracing for Efficient Sparse Matrix Computations</w:t>
      </w:r>
      <w:r>
        <w:tab/>
        <w:t>Sep 2023 - Sep 2025</w:t>
      </w:r>
    </w:p>
    <w:p>
      <w:pPr>
        <w:pStyle w:val="Subtitle"/>
        <w:keepNext/>
      </w:pPr>
      <w:r>
        <w:t>ESCAL Laboratory, UC Riverside | Advisor: Hung-Wei Tseng | NVIDIA OptiX, CUDA, C++, Python</w:t>
      </w:r>
    </w:p>
    <w:p>
      <w:pPr>
        <w:pStyle w:val="Bullet"/>
        <w:keepLines/>
      </w:pPr>
      <w:r>
        <w:t>• Led the design and implementation of an algorithm that maps sparse matrix-matrix multiplication (SpMSpM) to ray-tracing operations, enabling NVIDIA RT Cores to accelerate non-graphics sparse computation.</w:t>
      </w:r>
    </w:p>
    <w:p>
      <w:pPr>
        <w:pStyle w:val="Bullet"/>
        <w:keepLines/>
      </w:pPr>
      <w:r>
        <w:t>• Developed the OptiX/CUDA library implementing the proposed mapping and achieved up to 1.85x speedup over cuSPARSE on NVIDIA RT Cores.</w:t>
      </w:r>
    </w:p>
    <w:p>
      <w:pPr>
        <w:pStyle w:val="Bullet"/>
        <w:keepLines/>
      </w:pPr>
      <w:r>
        <w:t>• Integrated the library into a graph-neural-network training framework using CUDA and Python, achieving more than 3x end-to-end training speedup on an NVIDIA RTX 4090.</w:t>
      </w:r>
    </w:p>
    <w:p>
      <w:pPr>
        <w:pStyle w:val="Bullet"/>
        <w:keepLines/>
      </w:pPr>
      <w:r>
        <w:t>• Created controlled sparse-matrix workload generators with diagonal, scattered, and corner-concentrated nonzero patterns to study input-layout sensitivity, traversal behavior, and matrix-reordering effects.</w:t>
      </w:r>
    </w:p>
    <w:p>
      <w:pPr>
        <w:pStyle w:val="Bullet"/>
        <w:keepLines/>
      </w:pPr>
      <w:r>
        <w:t>• Served as first author of the ISCA 2025 paper and presented the work at the 52nd International Symposium on Computer Architecture.</w:t>
      </w:r>
    </w:p>
    <w:p>
      <w:pPr>
        <w:pStyle w:val="RoleLine"/>
        <w:tabs>
          <w:tab w:pos="10152" w:val="right"/>
        </w:tabs>
        <w:keepNext/>
      </w:pPr>
      <w:r>
        <w:rPr>
          <w:b/>
        </w:rPr>
        <w:t>Machine Learning in Music</w:t>
      </w:r>
      <w:r>
        <w:tab/>
        <w:t>Jun 2023 - Aug 2023</w:t>
      </w:r>
    </w:p>
    <w:p>
      <w:pPr>
        <w:pStyle w:val="Subtitle"/>
        <w:keepNext/>
      </w:pPr>
      <w:r>
        <w:t>PyTorch, LSTM, CNN, autoencoders, mel spectrograms</w:t>
      </w:r>
    </w:p>
    <w:p>
      <w:pPr>
        <w:pStyle w:val="Bullet"/>
        <w:keepLines/>
      </w:pPr>
      <w:r>
        <w:t>• Developed a genre-conditioned music-generation system using PyTorch, LSTMs, and autoencoders to synthesize short audio clips of approximately three minutes in target musical styles.</w:t>
      </w:r>
    </w:p>
    <w:p>
      <w:pPr>
        <w:pStyle w:val="Bullet"/>
        <w:keepLines/>
      </w:pPr>
      <w:r>
        <w:t>• Trained a convolutional neural network on mel-spectrogram inputs to classify music tracks by genre, achieving more than 85% accuracy on a curated dataset.</w:t>
      </w:r>
    </w:p>
    <w:p>
      <w:pPr>
        <w:pStyle w:val="Bullet"/>
        <w:keepLines/>
      </w:pPr>
      <w:r>
        <w:t>• Applied autoencoder-based compression and denoising to reduce input dimensionality and improve audio quality for downstream learning tasks.</w:t>
      </w:r>
    </w:p>
    <w:p>
      <w:pPr>
        <w:pStyle w:val="SectionHeading"/>
        <w:pBdr>
          <w:bottom w:val="single" w:sz="10" w:space="2" w:color="6D6D6D"/>
        </w:pBdr>
        <w:keepNext/>
      </w:pPr>
      <w:r>
        <w:t>TEACHING EXPERIENCE</w:t>
      </w:r>
    </w:p>
    <w:p>
      <w:pPr>
        <w:pStyle w:val="RoleLine"/>
        <w:tabs>
          <w:tab w:pos="10152" w:val="right"/>
        </w:tabs>
        <w:keepNext/>
      </w:pPr>
      <w:r>
        <w:rPr>
          <w:b/>
        </w:rPr>
        <w:t>Teaching Assistant, CS 10A: Introduction to Computer Science for Science, Mathematics, and Engineering I</w:t>
      </w:r>
      <w:r>
        <w:tab/>
        <w:t>Fall 2025 - Spring 2026</w:t>
      </w:r>
    </w:p>
    <w:p>
      <w:pPr>
        <w:pStyle w:val="Subtitle"/>
        <w:keepNext/>
      </w:pPr>
      <w:r>
        <w:t>University of California, Riverside</w:t>
      </w:r>
    </w:p>
    <w:p>
      <w:pPr>
        <w:pStyle w:val="Bullet"/>
        <w:keepLines/>
      </w:pPr>
      <w:r>
        <w:t>• Led programming laboratory sections of approximately 50 students per quarter within a course enrolling more than 200 students overall; taught the course across Fall 2025, Winter 2026, and Spring 2026.</w:t>
      </w:r>
    </w:p>
    <w:p>
      <w:pPr>
        <w:pStyle w:val="Bullet"/>
        <w:keepLines/>
      </w:pPr>
      <w:r>
        <w:t>• Guided students through coding exercises, debugging, and introductory programming concepts; held office hours, graded assignments and lab work, and reviewed student code.</w:t>
      </w:r>
    </w:p>
    <w:p>
      <w:pPr>
        <w:pStyle w:val="RoleLine"/>
        <w:tabs>
          <w:tab w:pos="10152" w:val="right"/>
        </w:tabs>
        <w:keepNext/>
      </w:pPr>
      <w:r>
        <w:rPr>
          <w:b/>
        </w:rPr>
        <w:t>Teaching Assistant, CS 203: Advanced Computer Architecture</w:t>
      </w:r>
      <w:r>
        <w:tab/>
        <w:t>Fall 2025</w:t>
      </w:r>
    </w:p>
    <w:p>
      <w:pPr>
        <w:pStyle w:val="Subtitle"/>
        <w:keepNext/>
      </w:pPr>
      <w:r>
        <w:t>University of California, Riverside | Approximately 30 students</w:t>
      </w:r>
    </w:p>
    <w:p>
      <w:pPr>
        <w:pStyle w:val="Bullet"/>
        <w:keepLines/>
      </w:pPr>
      <w:r>
        <w:t>• Held office hours, graded assignments and quizzes, reviewed programming assignments, and supported students studying processor performance, memory hierarchy, branch prediction, out-of-order execution, and parallel architecture.</w:t>
      </w:r>
    </w:p>
    <w:p>
      <w:pPr>
        <w:pStyle w:val="SectionHeading"/>
        <w:pBdr>
          <w:bottom w:val="single" w:sz="10" w:space="2" w:color="6D6D6D"/>
        </w:pBdr>
        <w:keepNext/>
      </w:pPr>
      <w:r>
        <w:t>MENTORING AND LEADERSHIP</w:t>
      </w:r>
    </w:p>
    <w:p>
      <w:pPr>
        <w:pStyle w:val="RoleLine"/>
        <w:tabs>
          <w:tab w:pos="10152" w:val="right"/>
        </w:tabs>
        <w:keepNext/>
      </w:pPr>
      <w:r>
        <w:rPr>
          <w:b/>
        </w:rPr>
        <w:t>Undergraduate Project Mentor, Smart-Glasses Translation Assistant</w:t>
      </w:r>
      <w:r>
        <w:tab/>
        <w:t>Jul 2026 - Aug 2026</w:t>
      </w:r>
    </w:p>
    <w:p>
      <w:pPr>
        <w:pStyle w:val="Subtitle"/>
        <w:keepNext/>
      </w:pPr>
      <w:r>
        <w:t>Mentored two undergraduate students | C++, eye tracking, OCR, Gemma-assisted translation, audio output</w:t>
      </w:r>
    </w:p>
    <w:p>
      <w:pPr>
        <w:pStyle w:val="Bullet"/>
        <w:keepLines/>
        <w:keepNext/>
      </w:pPr>
      <w:r>
        <w:t>• Led the high-level planning and validation of a wearable translation application that uses eye tracking to select text, blink confirmation to initiate translation, and connected headphones to announce the translated result.</w:t>
      </w:r>
    </w:p>
    <w:p>
      <w:pPr>
        <w:pStyle w:val="Bullet"/>
        <w:keepLines/>
      </w:pPr>
      <w:r>
        <w:t>• Guided project decomposition, milestone planning, implementation choices, debugging, and progress reviews; supported the students through completion and demonstration of a working prototype.</w:t>
      </w:r>
    </w:p>
    <w:p>
      <w:pPr>
        <w:pStyle w:val="SectionHeading"/>
        <w:pBdr>
          <w:bottom w:val="single" w:sz="10" w:space="2" w:color="6D6D6D"/>
        </w:pBdr>
        <w:keepNext/>
      </w:pPr>
      <w:r>
        <w:t>PUBLICATION</w:t>
      </w:r>
    </w:p>
    <w:p>
      <w:pPr>
        <w:spacing w:after="40"/>
      </w:pPr>
      <w:r>
        <w:rPr>
          <w:b/>
        </w:rPr>
        <w:t>Hongrui Zhang</w:t>
      </w:r>
      <w:r>
        <w:t xml:space="preserve">, Yunan Zhang, and Hung-Wei Tseng. “RTSpMSpM: Harnessing Ray Tracing for Efficient Sparse Matrix Computations.” </w:t>
      </w:r>
      <w:r>
        <w:rPr>
          <w:i/>
        </w:rPr>
        <w:t>Proceedings of the 52nd Annual International Symposium on Computer Architecture (ISCA ’25)</w:t>
      </w:r>
      <w:r>
        <w:t xml:space="preserve">, pp. 359-373, 2025. </w:t>
      </w:r>
      <w:hyperlink r:id="rId11">
        <w:r>
          <w:rPr>
            <w:color w:val="1F4E79"/>
            <w:u w:val="single"/>
            <w:rFonts w:ascii="Arial" w:hAnsi="Arial"/>
            <w:sz w:val="20"/>
          </w:rPr>
          <w:t>DOI</w:t>
        </w:r>
      </w:hyperlink>
    </w:p>
    <w:p>
      <w:pPr>
        <w:pStyle w:val="SectionHeading"/>
        <w:pBdr>
          <w:bottom w:val="single" w:sz="10" w:space="2" w:color="6D6D6D"/>
        </w:pBdr>
        <w:keepNext/>
      </w:pPr>
      <w:r>
        <w:t>RESEARCH PRESENTATIONS</w:t>
      </w:r>
    </w:p>
    <w:p>
      <w:pPr>
        <w:pStyle w:val="RoleLine"/>
        <w:tabs>
          <w:tab w:pos="10152" w:val="right"/>
        </w:tabs>
        <w:keepNext/>
      </w:pPr>
      <w:r>
        <w:rPr>
          <w:b/>
        </w:rPr>
        <w:t>RTSpMSpM: Harnessing Ray Tracing for Efficient Sparse Matrix Computations</w:t>
      </w:r>
      <w:r>
        <w:tab/>
        <w:t>2025</w:t>
      </w:r>
    </w:p>
    <w:p>
      <w:pPr>
        <w:pStyle w:val="Subtitle"/>
        <w:keepNext/>
      </w:pPr>
      <w:r>
        <w:t>Conference presentation, 52nd International Symposium on Computer Architecture (ISCA ’25)</w:t>
      </w:r>
    </w:p>
    <w:p>
      <w:pPr>
        <w:pStyle w:val="RoleLine"/>
        <w:tabs>
          <w:tab w:pos="10152" w:val="right"/>
        </w:tabs>
        <w:keepNext/>
      </w:pPr>
      <w:r>
        <w:rPr>
          <w:b/>
        </w:rPr>
        <w:t>Democratizing Ray Tracing Hardware</w:t>
      </w:r>
      <w:r>
        <w:tab/>
        <w:t>May 4, 2026</w:t>
      </w:r>
    </w:p>
    <w:p>
      <w:pPr>
        <w:pStyle w:val="Subtitle"/>
        <w:keepNext/>
      </w:pPr>
      <w:r>
        <w:t>Oral Qualifying Examination, University of California, Riverside</w:t>
      </w:r>
    </w:p>
    <w:p>
      <w:pPr>
        <w:pStyle w:val="SectionHeading"/>
        <w:pBdr>
          <w:bottom w:val="single" w:sz="10" w:space="2" w:color="6D6D6D"/>
        </w:pBdr>
        <w:keepNext/>
      </w:pPr>
      <w:r>
        <w:t>TECHNICAL SKILLS</w:t>
      </w:r>
    </w:p>
    <w:p>
      <w:pPr>
        <w:spacing w:after="28"/>
        <w:ind w:left="0"/>
      </w:pPr>
      <w:r>
        <w:rPr>
          <w:b/>
        </w:rPr>
        <w:t xml:space="preserve">Languages used in research: </w:t>
      </w:r>
      <w:r>
        <w:t>Python, C++, C, CUDA C++, SQL, Bash</w:t>
      </w:r>
    </w:p>
    <w:p>
      <w:pPr>
        <w:spacing w:after="28"/>
        <w:ind w:left="0"/>
      </w:pPr>
      <w:r>
        <w:rPr>
          <w:b/>
        </w:rPr>
        <w:t xml:space="preserve">GPU and machine-learning technologies: </w:t>
      </w:r>
      <w:r>
        <w:t>CUDA, NVIDIA OptiX, cuSPARSE, PyTorch, NumPy, XGBoost</w:t>
      </w:r>
    </w:p>
    <w:p>
      <w:pPr>
        <w:spacing w:after="28"/>
        <w:ind w:left="0"/>
      </w:pPr>
      <w:r>
        <w:rPr>
          <w:b/>
        </w:rPr>
        <w:t xml:space="preserve">Profiling and performance analysis: </w:t>
      </w:r>
      <w:r>
        <w:t>Nsight Systems, Nsight Compute, PyTorch Profiler, NVBit memory tracing, roofline analysis, CUDA events, GPU utilization and memory-behavior analysis</w:t>
      </w:r>
    </w:p>
    <w:p>
      <w:pPr>
        <w:spacing w:after="28"/>
        <w:ind w:left="0"/>
      </w:pPr>
      <w:r>
        <w:rPr>
          <w:b/>
        </w:rPr>
        <w:t xml:space="preserve">Database and data-processing experience: </w:t>
      </w:r>
      <w:r>
        <w:t>TPC-H, MonetDB, TQP-style tensor query processing, TCUDB reproduction, sparse COO matrix joins, relational and tensor algebra, correctness validation</w:t>
      </w:r>
    </w:p>
    <w:p>
      <w:pPr>
        <w:spacing w:after="28"/>
        <w:ind w:left="0"/>
      </w:pPr>
      <w:r>
        <w:rPr>
          <w:b/>
        </w:rPr>
        <w:t xml:space="preserve">Systems and development tools: </w:t>
      </w:r>
      <w:r>
        <w:t>Linux/Ubuntu, Git, GitHub, Docker, gdb, vim</w:t>
      </w:r>
    </w:p>
    <w:p>
      <w:pPr>
        <w:spacing w:after="28"/>
        <w:ind w:left="0"/>
      </w:pPr>
      <w:r>
        <w:rPr>
          <w:b/>
        </w:rPr>
        <w:t xml:space="preserve">Hardware used: </w:t>
      </w:r>
      <w:r>
        <w:t>NVIDIA RTX 3070, RTX 3080, RTX 3090, RTX 4070, RTX 4090, RTX 5090; Intel Core i7-14700</w:t>
      </w:r>
    </w:p>
    <w:p>
      <w:pPr>
        <w:spacing w:after="28"/>
        <w:ind w:left="0"/>
      </w:pPr>
      <w:r>
        <w:rPr>
          <w:b/>
        </w:rPr>
        <w:t xml:space="preserve">Additional software: </w:t>
      </w:r>
      <w:r>
        <w:t>Windows, MATLAB, LTSpice, Multisim, Proteus</w:t>
      </w:r>
    </w:p>
    <w:sectPr w:rsidR="00FC693F" w:rsidRPr="0006063C" w:rsidSect="00034616">
      <w:footerReference w:type="default" r:id="rId12"/>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6E6E6E"/>
        <w:sz w:val="16"/>
      </w:rPr>
      <w:t xml:space="preserve">Hongrui (Jack) Zhang  |  Master Resume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
    </w:pPr>
    <w:rPr>
      <w:rFonts w:asciiTheme="majorHAnsi" w:eastAsiaTheme="majorEastAsia" w:hAnsiTheme="majorHAnsi" w:cstheme="majorBidi" w:ascii="Arial" w:hAnsi="Arial" w:eastAsia="Arial"/>
      <w:b w:val="0"/>
      <w:i/>
      <w:iCs/>
      <w:color w:val="33333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basedOn w:val="Normal"/>
    <w:pPr>
      <w:keepNext/>
      <w:spacing w:before="140" w:after="60"/>
    </w:pPr>
    <w:rPr>
      <w:rFonts w:ascii="Arial" w:hAnsi="Arial" w:eastAsia="Arial"/>
      <w:b/>
      <w:color w:val="222222"/>
      <w:sz w:val="22"/>
    </w:rPr>
  </w:style>
  <w:style w:type="paragraph" w:customStyle="1" w:styleId="RoleLine">
    <w:name w:val="Role Line"/>
    <w:basedOn w:val="Normal"/>
    <w:pPr>
      <w:spacing w:before="70" w:after="8"/>
    </w:pPr>
    <w:rPr>
      <w:rFonts w:ascii="Arial" w:hAnsi="Arial" w:eastAsia="Arial"/>
      <w:b w:val="0"/>
      <w:color w:val="111111"/>
      <w:sz w:val="20"/>
    </w:rPr>
  </w:style>
  <w:style w:type="paragraph" w:customStyle="1" w:styleId="Bullet">
    <w:name w:val="Bullet"/>
    <w:basedOn w:val="Normal"/>
    <w:pPr>
      <w:spacing w:after="32" w:line="242" w:lineRule="auto"/>
      <w:ind w:left="259" w:hanging="202"/>
    </w:pPr>
    <w:rPr>
      <w:rFonts w:ascii="Arial" w:hAnsi="Arial" w:eastAsia="Arial"/>
      <w:b w:val="0"/>
      <w:color w:val="111111"/>
      <w:sz w:val="19"/>
    </w:rPr>
  </w:style>
  <w:style w:type="paragraph" w:customStyle="1" w:styleId="Bullet2">
    <w:name w:val="Bullet 2"/>
    <w:basedOn w:val="Normal"/>
    <w:pPr>
      <w:spacing w:after="22"/>
      <w:ind w:left="518" w:hanging="202"/>
    </w:pPr>
    <w:rPr>
      <w:rFonts w:ascii="Arial" w:hAnsi="Arial" w:eastAsia="Arial"/>
      <w:b w:val="0"/>
      <w:color w:val="222222"/>
      <w:sz w:val="18"/>
    </w:rPr>
  </w:style>
  <w:style w:type="paragraph" w:customStyle="1" w:styleId="SmallNote">
    <w:name w:val="Small Note"/>
    <w:basedOn w:val="Normal"/>
    <w:pPr>
      <w:spacing w:after="40"/>
    </w:pPr>
    <w:rPr>
      <w:rFonts w:ascii="Arial" w:hAnsi="Arial" w:eastAsia="Arial"/>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hongruizhang63" TargetMode="External"/><Relationship Id="rId10" Type="http://schemas.openxmlformats.org/officeDocument/2006/relationships/hyperlink" Target="https://hongruizhang.com" TargetMode="External"/><Relationship Id="rId11" Type="http://schemas.openxmlformats.org/officeDocument/2006/relationships/hyperlink" Target="https://doi.org/10.1145/3695053.3731072"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Hongrui Zhang Master Resume</dc:title>
  <dc:subject>Comprehensive resume source document</dc:subject>
  <dc:creator>Hongrui Zhang</dc:creator>
  <cp:keywords>GPU systems, computer architecture, databases, CUDA, OptiX, performance engineering</cp:keywords>
  <dc:description>generated by python-docx</dc:description>
  <cp:lastModifiedBy/>
  <cp:revision>1</cp:revision>
  <dcterms:created xsi:type="dcterms:W3CDTF">2013-12-23T23:15:00Z</dcterms:created>
  <dcterms:modified xsi:type="dcterms:W3CDTF">2013-12-23T23:15:00Z</dcterms:modified>
  <cp:category/>
</cp:coreProperties>
</file>