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left w:val="nil"/>
              <w:top w:val="nil"/>
              <w:right w:val="nil"/>
              <w:bottom w:val="nil"/>
            </w:tcBorders>
            <w:shd w:fill="1F4E79"/>
            <w:tcMar>
              <w:top w:w="16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0"/>
              </w:rPr>
              <w:t>Biomarker-Stratified Gastric / GEJ Trials</w:t>
            </w:r>
          </w:p>
          <w:p>
            <w:pPr>
              <w:keepNext w:val="0"/>
              <w:spacing w:before="4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1"/>
              </w:rPr>
              <w:t>FDA-approved targeted therapies and immunotherapies with reported survival outcomes</w:t>
            </w:r>
          </w:p>
          <w:p>
            <w:pPr>
              <w:keepNext w:val="0"/>
              <w:spacing w:before="4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2F8"/>
                <w:sz w:val="18"/>
              </w:rPr>
              <w:t>Organized evidence summary | Prepared April 1, 2026</w:t>
            </w:r>
          </w:p>
        </w:tc>
      </w:tr>
    </w:tbl>
    <w:p/>
    <w:p>
      <w:pPr>
        <w:keepNext w:val="0"/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color w:val="1F1F1F"/>
          <w:sz w:val="20"/>
        </w:rPr>
        <w:t>This document organizes the trials from the prior screening pass using your requested filters: gastric or gastroesophageal junction adenocarcinoma; targeted therapy or immunotherapy; biomarker-stratified enrollment; reported progression-free survival (PFS) or overall survival (OS); FDA-approved drugs only; and exclusion of phase 3 studies with fewer than 100 enrolled patients.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77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8F5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Selection framework</w:t>
            </w:r>
          </w:p>
        </w:tc>
        <w:tc>
          <w:tcPr>
            <w:tcW w:type="dxa" w:w="7690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Gastric or GEJ adenocarcinoma; targeted therapy or immunotherapy; biomarker-selected population; survival outcomes required.</w:t>
            </w:r>
          </w:p>
        </w:tc>
      </w:tr>
      <w:tr>
        <w:tc>
          <w:tcPr>
            <w:tcW w:type="dxa" w:w="2477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8F5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Biomarker filter</w:t>
            </w:r>
          </w:p>
        </w:tc>
        <w:tc>
          <w:tcPr>
            <w:tcW w:type="dxa" w:w="7690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Examples retained: HER2-positive, PD-L1-positive (for example CPS &gt;=1), and CLDN18.2-positive populations. MSI-H evidence is noted when it appears within an otherwise eligible trial.</w:t>
            </w:r>
          </w:p>
        </w:tc>
      </w:tr>
      <w:tr>
        <w:tc>
          <w:tcPr>
            <w:tcW w:type="dxa" w:w="2477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8F5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Scope note</w:t>
            </w:r>
          </w:p>
        </w:tc>
        <w:tc>
          <w:tcPr>
            <w:tcW w:type="dxa" w:w="7690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FDA-approved drug was interpreted as approval in any indication as of the preparation date. Under that interpretation, pertuzumab, ado-trastuzumab emtansine, and lapatinib remain in scope; if you want gastric / GEJ-specific approvals only, those trials would drop out.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EDF4FA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keepNext w:val="0"/>
              <w:spacing w:before="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Bottom line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Strongest positive evidence is concentrated in five trials: ToGA, KEYNOTE-811, DESTINY-Gastric01, SPOTLIGHT, and GLOW.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The clearest practice-relevant biomarker groups are HER2-positive disease and CLDN18.2-positive / HER2-negative disease.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Most other eligible biomarker-selected trials with FDA-approved agents were negative overall or supportive only.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Within gastric / GEJ-specific trials that met this filter, MSI-H evidence remains mainly exploratory rather than anchored by a dedicated large biomarker-enriched randomized phase 3 study.</w:t>
            </w:r>
          </w:p>
        </w:tc>
      </w:tr>
    </w:tbl>
    <w:p>
      <w:pPr>
        <w:keepNext w:val="0"/>
        <w:spacing w:before="160" w:after="0" w:line="240" w:lineRule="auto"/>
        <w:jc w:val="left"/>
      </w:pPr>
      <w:r>
        <w:rPr>
          <w:rFonts w:ascii="Arial" w:hAnsi="Arial" w:eastAsia="Arial"/>
          <w:b w:val="0"/>
          <w:i/>
          <w:color w:val="4D5968"/>
          <w:sz w:val="16"/>
        </w:rPr>
        <w:t>Abbreviations: CPS, combined positive score; GEJ, gastroesophageal junction; HER2, human epidermal growth factor receptor 2; MSI-H, microsatellite instability-high; OS, overall survival; PFS, progression-free survival.</w:t>
      </w:r>
    </w:p>
    <w:p>
      <w:pPr>
        <w:sectPr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CustomHeading1"/>
        <w:keepNext/>
        <w:spacing w:before="0" w:after="40" w:line="240" w:lineRule="auto"/>
        <w:jc w:val="left"/>
      </w:pPr>
      <w:r>
        <w:rPr>
          <w:rFonts w:ascii="Arial" w:hAnsi="Arial" w:eastAsia="Arial"/>
          <w:b/>
          <w:i w:val="0"/>
          <w:color w:val="1F4E79"/>
          <w:sz w:val="28"/>
        </w:rPr>
        <w:t>1. Practice-relevant positive trials</w:t>
      </w:r>
    </w:p>
    <w:p>
      <w:pPr>
        <w:keepNext/>
        <w:spacing w:before="0" w:after="160" w:line="264" w:lineRule="auto"/>
      </w:pPr>
      <w:r>
        <w:rPr>
          <w:rFonts w:ascii="Arial" w:hAnsi="Arial" w:eastAsia="Arial"/>
          <w:b w:val="0"/>
          <w:i w:val="0"/>
          <w:color w:val="4D5968"/>
          <w:sz w:val="19"/>
        </w:rPr>
        <w:t>These trials produced the clearest positive survival signals within the filtered set and most directly inform current clinical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045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Trial</w:t>
            </w:r>
          </w:p>
        </w:tc>
        <w:tc>
          <w:tcPr>
            <w:tcW w:type="dxa" w:w="2304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Biomarker population</w:t>
            </w:r>
          </w:p>
        </w:tc>
        <w:tc>
          <w:tcPr>
            <w:tcW w:type="dxa" w:w="2520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Regimen</w:t>
            </w:r>
          </w:p>
        </w:tc>
        <w:tc>
          <w:tcPr>
            <w:tcW w:type="dxa" w:w="3384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Key survival outcome(s)</w:t>
            </w:r>
          </w:p>
        </w:tc>
        <w:tc>
          <w:tcPr>
            <w:tcW w:type="dxa" w:w="4003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Appraisal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ToGA [1]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n=594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 overexpression or amplification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Trastuzumab + cisplatin/fluoropyrimidine vs chemotherapy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13.8 vs 11.1 months (HR 0.74).</w:t>
            </w:r>
          </w:p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High HER2 subgroup OS 16.0 vs 11.8 months.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Foundational positive first-line HER2 trial. Established trastuzumab-based therapy as the benchmark standard.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KEYNOTE-811 [2]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n=698</w:t>
              <w:br/>
              <w:t>(PD-L1 CPS &gt;=1 subgroup n=594)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HER2-positive; current US label applies to PD-L1 CPS &gt;=1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Pembrolizumab + trastuzumab + chemotherapy vs placebo + trastuzumab + chemotherapy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In PD-L1 CPS &gt;=1: PFS 10.9 vs 7.3 months (HR 0.72); OS 20.1 vs 15.7 months (HR 0.79).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Practice-changing first-line immunotherapy combination for HER2-positive / PD-L1-positive disease.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DESTINY-Gastric01 [3]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Randomized phase 2, n=188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HER2-positive after prior trastuzumab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Fam-trastuzumab deruxtecan-nxki vs physician's choice chemotherapy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12.5 vs 8.4 months (HR 0.59); PFS 5.6 vs 3.5 months (HR 0.47).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Strongest later-line HER2-directed evidence. Key safety concern: interstitial lung disease / pneumonitis.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DESTINY-Gastric02 [4]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Single-arm phase 2, n=79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HER2-positive, Western patients; central HER2 confirmation on post-progression biopsy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Fam-trastuzumab deruxtecan-nxki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Median PFS 5.6 months; median OS 12.1 months.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Supportive rather than definitive because there was no control arm, but it confirms activity after trastuzumab in Western practice.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SPOTLIGHT [5]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n=565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CLDN18.2-positive, HER2-negative, first-line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Zolbetuximab-clzb + mFOLFOX6 vs placebo + mFOLFOX6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PFS 10.61 vs 8.67 months (HR 0.75); OS 18.23 vs 15.54 months (HR 0.75).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Definitive positive first-line CLDN18.2 trial. GI toxicity, especially nausea and vomiting, is the main tolerability issue.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GLOW [6]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n=507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CLDN18.2-positive, HER2-negative, first-line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Zolbetuximab-clzb + CAPOX vs placebo + CAPOX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PFS 8.21 vs 6.80 months (HR 0.687); OS 14.39 vs 12.16 months (HR 0.771).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63238"/>
                <w:sz w:val="17"/>
              </w:rPr>
              <w:t>Confirmatory positive CLDN18.2 trial across a second chemotherapy backbone, strengthening confidence in the biomarker.</w:t>
            </w:r>
          </w:p>
        </w:tc>
      </w:tr>
    </w:tbl>
    <w:p>
      <w:pPr>
        <w:pStyle w:val="SmallNote"/>
        <w:keepNext w:val="0"/>
        <w:spacing w:before="120" w:after="0" w:line="240" w:lineRule="auto"/>
      </w:pPr>
      <w:r>
        <w:rPr>
          <w:rFonts w:ascii="Arial" w:hAnsi="Arial" w:eastAsia="Arial"/>
          <w:b w:val="0"/>
          <w:i/>
          <w:color w:val="4D5968"/>
          <w:sz w:val="16"/>
        </w:rPr>
        <w:t>Notes: KEYNOTE-811 outcomes are shown for the PD-L1 CPS &gt;=1 population that supports current FDA labeling. DESTINY-Gastric02 is a single-arm study and therefore supportive rather than comparative.</w:t>
      </w:r>
    </w:p>
    <w:p>
      <w:pPr>
        <w:sectPr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CustomHeading1"/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F4E79"/>
          <w:sz w:val="28"/>
        </w:rPr>
        <w:t>2. Eligible trials that were negative overall or not practice-changing</w:t>
      </w:r>
    </w:p>
    <w:p>
      <w:pPr>
        <w:keepNext/>
        <w:spacing w:before="0" w:after="160" w:line="264" w:lineRule="auto"/>
      </w:pPr>
      <w:r>
        <w:rPr>
          <w:rFonts w:ascii="Arial" w:hAnsi="Arial" w:eastAsia="Arial"/>
          <w:b w:val="0"/>
          <w:i w:val="0"/>
          <w:color w:val="4D5968"/>
          <w:sz w:val="19"/>
        </w:rPr>
        <w:t>These studies met the filter but did not establish a clear new standard of care under the biomarker-selected design 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045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Trial</w:t>
            </w:r>
          </w:p>
        </w:tc>
        <w:tc>
          <w:tcPr>
            <w:tcW w:type="dxa" w:w="2304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Biomarker population</w:t>
            </w:r>
          </w:p>
        </w:tc>
        <w:tc>
          <w:tcPr>
            <w:tcW w:type="dxa" w:w="2520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Regimen</w:t>
            </w:r>
          </w:p>
        </w:tc>
        <w:tc>
          <w:tcPr>
            <w:tcW w:type="dxa" w:w="3384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Key survival outcome(s)</w:t>
            </w:r>
          </w:p>
        </w:tc>
        <w:tc>
          <w:tcPr>
            <w:tcW w:type="dxa" w:w="4003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Appraisal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KEYNOTE-061 [7]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n=592</w:t>
              <w:br/>
              <w:t>(primary PD-L1 CPS &gt;=1 population n=395)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PD-L1-positive second-line disease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Pembrolizumab vs paclitaxel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9.1 vs 8.3 months; PFS 1.5 vs 4.1 months. Primary endpoints not met.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Negative overall. Later follow-up suggested a longer-term tail of benefit as PD-L1 enrichment increased, but not a definitive positive trial.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KEYNOTE-062 [8]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n=763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PD-L1 CPS &gt;=1 first-line disease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Pembrolizumab or pembrolizumab + chemotherapy vs chemotherapy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Pembrolizumab alone: OS 10.6 vs 11.1 months (noninferior, not superior); PFS 2.0 vs 6.4 months.</w:t>
            </w:r>
          </w:p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Pembrolizumab + chemotherapy: OS 12.5 vs 11.1 months; PFS 6.9 vs 6.4 months; not superior.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Negative overall for routine PD-L1-selected first-line use. MSI-H results were favorable but exploratory rather than practice-defining within this filtered set.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JACOB [9]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3, n=780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HER2-positive first-line disease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Pertuzumab + trastuzumab + chemotherapy vs trastuzumab + chemotherapy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17.5 vs 14.2 months (HR 0.84; not statistically significant).</w:t>
            </w:r>
          </w:p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PFS improved by about 1.3 months in later descriptive analyses.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Biologically plausible but insufficient to displace standard trastuzumab-based therapy in gastric/GEJ cancer.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GATSBY [10]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Adaptive phase 2/3, n=415 total</w:t>
              <w:br/>
              <w:t>(selected-arm comparison: 228 vs 117)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HER2-positive after first-line therapy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Ado-trastuzumab emtansine vs taxane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7.9 vs 8.6 months (HR 1.15); PFS 2.7 vs 2.9 months.</w:t>
            </w:r>
          </w:p>
        </w:tc>
        <w:tc>
          <w:tcPr>
            <w:tcW w:type="dxa" w:w="2851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Negative efficacy trial. Lower toxicity did not overcome lack of survival benefit.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TyTAN [11]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4D5968"/>
                <w:sz w:val="17"/>
              </w:rPr>
              <w:t>Phase 3 randomized part, n=261</w:t>
              <w:br/>
              <w:t>(+12-patient run-in)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HER2 FISH-positive Asian population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Lapatinib + paclitaxel vs paclitaxel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OS 11.0 vs 8.9 months (HR 0.84; not significant); PFS 5.4 vs 4.4 months.</w:t>
            </w:r>
          </w:p>
        </w:tc>
        <w:tc>
          <w:tcPr>
            <w:tcW w:type="dxa" w:w="28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Negative overall. IHC 3+ subgroup looked more favorable, highlighting that strong HER2 protein expression may matter more than amplification alone.</w:t>
            </w:r>
          </w:p>
        </w:tc>
      </w:tr>
    </w:tbl>
    <w:p>
      <w:pPr>
        <w:pStyle w:val="SmallNote"/>
        <w:keepNext w:val="0"/>
        <w:spacing w:before="120" w:after="0" w:line="240" w:lineRule="auto"/>
      </w:pPr>
      <w:r>
        <w:rPr>
          <w:rFonts w:ascii="Arial" w:hAnsi="Arial" w:eastAsia="Arial"/>
          <w:b w:val="0"/>
          <w:i/>
          <w:color w:val="4D5968"/>
          <w:sz w:val="16"/>
        </w:rPr>
        <w:t>Notes: KEYNOTE-062 included a favorable MSI-H signal, but that signal was exploratory within this filtered gastric / GEJ evidence set. The JACOB PFS statement reflects later descriptive analyses after the negative primary OS readout.</w:t>
      </w:r>
    </w:p>
    <w:p>
      <w:pPr>
        <w:sectPr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CustomHeading1"/>
        <w:keepNext/>
        <w:spacing w:before="0" w:after="80" w:line="240" w:lineRule="auto"/>
      </w:pPr>
      <w:r>
        <w:rPr>
          <w:rFonts w:ascii="Arial" w:hAnsi="Arial" w:eastAsia="Arial"/>
          <w:b/>
          <w:i w:val="0"/>
          <w:color w:val="1F4E79"/>
          <w:sz w:val="28"/>
        </w:rPr>
        <w:t>3. Notable exclusions and interpretation notes</w:t>
      </w:r>
    </w:p>
    <w:p>
      <w:pPr>
        <w:keepNext/>
        <w:spacing w:before="0" w:after="160" w:line="264" w:lineRule="auto"/>
      </w:pPr>
      <w:r>
        <w:rPr>
          <w:rFonts w:ascii="Arial" w:hAnsi="Arial" w:eastAsia="Arial"/>
          <w:b w:val="0"/>
          <w:i w:val="0"/>
          <w:color w:val="4D5968"/>
          <w:sz w:val="19"/>
        </w:rPr>
        <w:t>These studies were not carried into the main tables because they failed one of the requested filters, or because they help clarify how the filter was applied.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Trial / category</w:t>
            </w:r>
          </w:p>
        </w:tc>
        <w:tc>
          <w:tcPr>
            <w:tcW w:type="dxa" w:w="7862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Why it was excluded or caveated</w:t>
            </w:r>
          </w:p>
        </w:tc>
      </w:tr>
      <w:tr>
        <w:tc>
          <w:tcPr>
            <w:tcW w:type="dxa" w:w="508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CheckMate 649</w:t>
            </w:r>
          </w:p>
        </w:tc>
        <w:tc>
          <w:tcPr>
            <w:tcW w:type="dxa" w:w="508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Excluded because biomarker subgroup analyses were reported, but biomarker selection was not required at enrollment.</w:t>
            </w:r>
          </w:p>
        </w:tc>
      </w:tr>
      <w:tr>
        <w:tc>
          <w:tcPr>
            <w:tcW w:type="dxa" w:w="5083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KEYNOTE-859</w:t>
            </w:r>
          </w:p>
        </w:tc>
        <w:tc>
          <w:tcPr>
            <w:tcW w:type="dxa" w:w="5083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Excluded for the same reason: biomarker-positive subgroups were analyzed, but enrollment was not biomarker-selected.</w:t>
            </w:r>
          </w:p>
        </w:tc>
      </w:tr>
      <w:tr>
        <w:tc>
          <w:tcPr>
            <w:tcW w:type="dxa" w:w="508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KEYNOTE-063</w:t>
            </w:r>
          </w:p>
        </w:tc>
        <w:tc>
          <w:tcPr>
            <w:tcW w:type="dxa" w:w="508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Excluded because phase 3 enrollment stopped at 94 patients, below the size threshold used here.</w:t>
            </w:r>
          </w:p>
        </w:tc>
      </w:tr>
      <w:tr>
        <w:tc>
          <w:tcPr>
            <w:tcW w:type="dxa" w:w="5083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Tumor-agnostic MSI-H studies</w:t>
            </w:r>
          </w:p>
        </w:tc>
        <w:tc>
          <w:tcPr>
            <w:tcW w:type="dxa" w:w="5083"/>
            <w:shd w:fill="F8FB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1F1F1F"/>
                <w:sz w:val="17"/>
              </w:rPr>
              <w:t>Not used to populate this gastric / GEJ-specific summary because the request required gastric or gastroesophageal junction cancer trials.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left w:val="single" w:sz="6" w:color="D7E3F0"/>
              <w:top w:val="single" w:sz="6" w:color="D7E3F0"/>
              <w:right w:val="single" w:sz="6" w:color="D7E3F0"/>
              <w:bottom w:val="single" w:sz="6" w:color="D7E3F0"/>
            </w:tcBorders>
            <w:shd w:fill="EDF4FA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2"/>
              </w:rPr>
              <w:t>Interpretation notes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Evidence that fully satisfies the filter is concentrated in HER2-positive and CLDN18.2-positive disease.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MSI-H remains clinically important, but within gastric / GEJ-specific trials that met this exact filter the strongest MSI-H evidence is exploratory rather than derived from a dedicated large randomized biomarker-enriched phase 3 trial.</w:t>
            </w:r>
          </w:p>
          <w:p>
            <w:pPr>
              <w:spacing w:after="40" w:line="259" w:lineRule="auto"/>
              <w:ind w:left="259" w:hanging="187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If the drug filter is narrowed to gastric / GEJ-specific FDA approvals only, JACOB, GATSBY, and TyTAN would be removed from the included list.</w:t>
            </w:r>
          </w:p>
        </w:tc>
      </w:tr>
    </w:tbl>
    <w:p/>
    <w:p>
      <w:pPr>
        <w:pStyle w:val="CustomHeading2"/>
        <w:keepNext/>
        <w:spacing w:before="0" w:after="60" w:line="240" w:lineRule="auto"/>
      </w:pPr>
      <w:r>
        <w:rPr>
          <w:rFonts w:ascii="Arial" w:hAnsi="Arial" w:eastAsia="Arial"/>
          <w:b/>
          <w:i w:val="0"/>
          <w:color w:val="1F4E79"/>
          <w:sz w:val="23"/>
        </w:rPr>
        <w:t>Selected references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[1] </w:t>
      </w:r>
      <w:r>
        <w:rPr>
          <w:rFonts w:ascii="Arial" w:hAnsi="Arial" w:eastAsia="Arial"/>
          <w:b w:val="0"/>
          <w:i w:val="0"/>
          <w:color w:val="333333"/>
          <w:sz w:val="17"/>
        </w:rPr>
        <w:t>Bang YJ, et al. ToGA: trastuzumab plus chemotherapy versus chemotherapy alone for HER2-positive advanced gastric or gastroesophageal junction cancer. Lancet. 2010.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[2] </w:t>
      </w:r>
      <w:r>
        <w:rPr>
          <w:rFonts w:ascii="Arial" w:hAnsi="Arial" w:eastAsia="Arial"/>
          <w:b w:val="0"/>
          <w:i w:val="0"/>
          <w:color w:val="333333"/>
          <w:sz w:val="17"/>
        </w:rPr>
        <w:t>FDA. Pembrolizumab with trastuzumab and chemotherapy for HER2-positive gastric or GEJ adenocarcinoma expressing PD-L1 (CPS &gt;=1). Approval notice, March 19, 2025.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[3] </w:t>
      </w:r>
      <w:r>
        <w:rPr>
          <w:rFonts w:ascii="Arial" w:hAnsi="Arial" w:eastAsia="Arial"/>
          <w:b w:val="0"/>
          <w:i w:val="0"/>
          <w:color w:val="333333"/>
          <w:sz w:val="17"/>
        </w:rPr>
        <w:t>Shitara K, et al. DESTINY-Gastric01: trastuzumab deruxtecan in previously treated HER2-positive gastric cancer. N Engl J Med. 2020.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[4] </w:t>
      </w:r>
      <w:r>
        <w:rPr>
          <w:rFonts w:ascii="Arial" w:hAnsi="Arial" w:eastAsia="Arial"/>
          <w:b w:val="0"/>
          <w:i w:val="0"/>
          <w:color w:val="333333"/>
          <w:sz w:val="17"/>
        </w:rPr>
        <w:t>Van Cutsem E, et al. DESTINY-Gastric02: trastuzumab deruxtecan in Western patients with HER2-positive advanced gastric or GEJ cancer. Lancet Oncol. 2023.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[5] </w:t>
      </w:r>
      <w:r>
        <w:rPr>
          <w:rFonts w:ascii="Arial" w:hAnsi="Arial" w:eastAsia="Arial"/>
          <w:b w:val="0"/>
          <w:i w:val="0"/>
          <w:color w:val="333333"/>
          <w:sz w:val="17"/>
        </w:rPr>
        <w:t>Shitara K, et al. SPOTLIGHT: zolbetuximab plus mFOLFOX6 in CLDN18.2-positive, HER2-negative gastric or GEJ adenocarcinoma. Lancet. 2023.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[6] </w:t>
      </w:r>
      <w:r>
        <w:rPr>
          <w:rFonts w:ascii="Arial" w:hAnsi="Arial" w:eastAsia="Arial"/>
          <w:b w:val="0"/>
          <w:i w:val="0"/>
          <w:color w:val="333333"/>
          <w:sz w:val="17"/>
        </w:rPr>
        <w:t>Shah MA, et al. GLOW: zolbetuximab plus CAPOX in CLDN18.2-positive gastric or GEJ adenocarcinoma. Nat Med. 2023.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[7] </w:t>
      </w:r>
      <w:r>
        <w:rPr>
          <w:rFonts w:ascii="Arial" w:hAnsi="Arial" w:eastAsia="Arial"/>
          <w:b w:val="0"/>
          <w:i w:val="0"/>
          <w:color w:val="333333"/>
          <w:sz w:val="17"/>
        </w:rPr>
        <w:t>Shitara K, et al. KEYNOTE-061: pembrolizumab versus paclitaxel for previously treated PD-L1-positive advanced gastric or GEJ cancer. Lancet. 2018.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[8] </w:t>
      </w:r>
      <w:r>
        <w:rPr>
          <w:rFonts w:ascii="Arial" w:hAnsi="Arial" w:eastAsia="Arial"/>
          <w:b w:val="0"/>
          <w:i w:val="0"/>
          <w:color w:val="333333"/>
          <w:sz w:val="17"/>
        </w:rPr>
        <w:t>Shitara K, et al. KEYNOTE-062: pembrolizumab or pembrolizumab plus chemotherapy versus chemotherapy alone for first-line advanced gastric cancer. JAMA Oncol. 2020.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[9] </w:t>
      </w:r>
      <w:r>
        <w:rPr>
          <w:rFonts w:ascii="Arial" w:hAnsi="Arial" w:eastAsia="Arial"/>
          <w:b w:val="0"/>
          <w:i w:val="0"/>
          <w:color w:val="333333"/>
          <w:sz w:val="17"/>
        </w:rPr>
        <w:t>Tabernero J, et al. JACOB: pertuzumab plus trastuzumab and chemotherapy for HER2-positive metastatic gastric or GEJ cancer. J Clin Oncol. 2018.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[10] </w:t>
      </w:r>
      <w:r>
        <w:rPr>
          <w:rFonts w:ascii="Arial" w:hAnsi="Arial" w:eastAsia="Arial"/>
          <w:b w:val="0"/>
          <w:i w:val="0"/>
          <w:color w:val="333333"/>
          <w:sz w:val="17"/>
        </w:rPr>
        <w:t>Thuss-Patience PC, et al. GATSBY: trastuzumab emtansine versus taxane for previously treated HER2-positive gastric or GEJ adenocarcinoma. Lancet Oncol. 2017.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[11] </w:t>
      </w:r>
      <w:r>
        <w:rPr>
          <w:rFonts w:ascii="Arial" w:hAnsi="Arial" w:eastAsia="Arial"/>
          <w:b w:val="0"/>
          <w:i w:val="0"/>
          <w:color w:val="333333"/>
          <w:sz w:val="17"/>
        </w:rPr>
        <w:t>Satoh T, et al. TyTAN: lapatinib plus paclitaxel versus paclitaxel alone in HER2-amplified advanced gastric cancer. J Clin Oncol. 2014.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[12] </w:t>
      </w:r>
      <w:r>
        <w:rPr>
          <w:rFonts w:ascii="Arial" w:hAnsi="Arial" w:eastAsia="Arial"/>
          <w:b w:val="0"/>
          <w:i w:val="0"/>
          <w:color w:val="333333"/>
          <w:sz w:val="17"/>
        </w:rPr>
        <w:t>FDA. Zolbetuximab-clzb with chemotherapy for CLDN18.2-positive, HER2-negative gastric or GEJ adenocarcinoma. Approval notice, October 18, 2024.</w:t>
      </w:r>
    </w:p>
    <w:p>
      <w:pPr>
        <w:spacing w:after="40" w:line="259" w:lineRule="auto"/>
        <w:ind w:left="403" w:hanging="317"/>
      </w:pPr>
      <w:r>
        <w:rPr>
          <w:rFonts w:ascii="Arial" w:hAnsi="Arial" w:eastAsia="Arial"/>
          <w:b/>
          <w:i w:val="0"/>
          <w:color w:val="333333"/>
          <w:sz w:val="17"/>
        </w:rPr>
        <w:t xml:space="preserve">[13] </w:t>
      </w:r>
      <w:r>
        <w:rPr>
          <w:rFonts w:ascii="Arial" w:hAnsi="Arial" w:eastAsia="Arial"/>
          <w:b w:val="0"/>
          <w:i w:val="0"/>
          <w:color w:val="333333"/>
          <w:sz w:val="17"/>
        </w:rPr>
        <w:t>FDA. Fam-trastuzumab deruxtecan-nxki for HER2-positive gastric adenocarcinomas after prior trastuzumab. Approval notice, January 15, 2021.</w:t>
      </w:r>
    </w:p>
    <w:sectPr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rFonts w:ascii="Arial" w:hAnsi="Arial" w:eastAsia="Arial"/>
      <w:b/>
      <w:color w:val="1F4E79"/>
      <w:sz w:val="28"/>
    </w:rPr>
  </w:style>
  <w:style w:type="paragraph" w:customStyle="1" w:styleId="CustomHeading2">
    <w:name w:val="Custom Heading 2"/>
    <w:rPr>
      <w:rFonts w:ascii="Arial" w:hAnsi="Arial" w:eastAsia="Arial"/>
      <w:b/>
      <w:color w:val="1F4E79"/>
      <w:sz w:val="23"/>
    </w:rPr>
  </w:style>
  <w:style w:type="paragraph" w:customStyle="1" w:styleId="SmallNote">
    <w:name w:val="Small Note"/>
    <w:rPr>
      <w:rFonts w:ascii="Arial" w:hAnsi="Arial" w:eastAsia="Arial"/>
      <w:color w:val="4D59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