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675" w:rsidRDefault="004413C4">
      <w:pPr>
        <w:jc w:val="center"/>
      </w:pPr>
      <w:r>
        <w:rPr>
          <w:b/>
        </w:rPr>
        <w:t>CARACTERÍSTICAS DE LA INVESTIGACIÓN</w:t>
      </w:r>
    </w:p>
    <w:p w:rsidR="002F5675" w:rsidRDefault="002F5675"/>
    <w:tbl>
      <w:tblPr>
        <w:tblStyle w:val="a"/>
        <w:tblW w:w="9345" w:type="dxa"/>
        <w:tblInd w:w="-2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800"/>
        <w:gridCol w:w="6255"/>
      </w:tblGrid>
      <w:tr w:rsidR="002F5675">
        <w:trPr>
          <w:trHeight w:val="380"/>
        </w:trPr>
        <w:tc>
          <w:tcPr>
            <w:tcW w:w="309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675" w:rsidRDefault="002F5675">
            <w:pPr>
              <w:rPr>
                <w:sz w:val="18"/>
                <w:szCs w:val="18"/>
              </w:rPr>
            </w:pPr>
          </w:p>
          <w:p w:rsidR="002F5675" w:rsidRDefault="004413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Nombre del estudio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675" w:rsidRDefault="004413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Exploración de la asociación entre la </w:t>
            </w:r>
            <w:r w:rsidRPr="00375740">
              <w:rPr>
                <w:sz w:val="18"/>
                <w:szCs w:val="18"/>
                <w:highlight w:val="lightGray"/>
              </w:rPr>
              <w:t>salud mental y la calidad subjetiva del sueño durante la pandemia de COVID 19 entre estudiantes universitarios de Bangladesh</w:t>
            </w:r>
          </w:p>
        </w:tc>
      </w:tr>
      <w:tr w:rsidR="002F5675">
        <w:trPr>
          <w:trHeight w:val="380"/>
        </w:trPr>
        <w:tc>
          <w:tcPr>
            <w:tcW w:w="1290" w:type="dxa"/>
            <w:vMerge w:val="restar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675" w:rsidRDefault="002F5675">
            <w:pPr>
              <w:rPr>
                <w:sz w:val="18"/>
                <w:szCs w:val="18"/>
              </w:rPr>
            </w:pPr>
          </w:p>
          <w:p w:rsidR="002F5675" w:rsidRDefault="002F5675">
            <w:pPr>
              <w:rPr>
                <w:sz w:val="18"/>
                <w:szCs w:val="18"/>
              </w:rPr>
            </w:pPr>
          </w:p>
          <w:p w:rsidR="002F5675" w:rsidRDefault="002F5675">
            <w:pPr>
              <w:rPr>
                <w:sz w:val="18"/>
                <w:szCs w:val="18"/>
              </w:rPr>
            </w:pPr>
          </w:p>
          <w:p w:rsidR="002F5675" w:rsidRDefault="002F5675">
            <w:pPr>
              <w:rPr>
                <w:sz w:val="18"/>
                <w:szCs w:val="18"/>
              </w:rPr>
            </w:pPr>
          </w:p>
          <w:p w:rsidR="002F5675" w:rsidRDefault="002F5675">
            <w:pPr>
              <w:rPr>
                <w:sz w:val="18"/>
                <w:szCs w:val="18"/>
              </w:rPr>
            </w:pPr>
          </w:p>
          <w:p w:rsidR="002F5675" w:rsidRDefault="002F5675">
            <w:pPr>
              <w:rPr>
                <w:sz w:val="18"/>
                <w:szCs w:val="18"/>
              </w:rPr>
            </w:pPr>
          </w:p>
          <w:p w:rsidR="002F5675" w:rsidRDefault="002F5675">
            <w:pPr>
              <w:rPr>
                <w:sz w:val="18"/>
                <w:szCs w:val="18"/>
              </w:rPr>
            </w:pPr>
          </w:p>
          <w:p w:rsidR="002F5675" w:rsidRDefault="002F5675">
            <w:pPr>
              <w:rPr>
                <w:sz w:val="18"/>
                <w:szCs w:val="18"/>
              </w:rPr>
            </w:pPr>
          </w:p>
          <w:p w:rsidR="002F5675" w:rsidRDefault="002F5675">
            <w:pPr>
              <w:rPr>
                <w:sz w:val="18"/>
                <w:szCs w:val="18"/>
              </w:rPr>
            </w:pPr>
          </w:p>
          <w:p w:rsidR="002F5675" w:rsidRDefault="002F5675">
            <w:pPr>
              <w:rPr>
                <w:sz w:val="18"/>
                <w:szCs w:val="18"/>
              </w:rPr>
            </w:pPr>
          </w:p>
          <w:p w:rsidR="002F5675" w:rsidRDefault="002F5675">
            <w:pPr>
              <w:rPr>
                <w:sz w:val="18"/>
                <w:szCs w:val="18"/>
              </w:rPr>
            </w:pPr>
          </w:p>
          <w:p w:rsidR="002F5675" w:rsidRDefault="002F5675">
            <w:pPr>
              <w:rPr>
                <w:sz w:val="18"/>
                <w:szCs w:val="18"/>
              </w:rPr>
            </w:pPr>
          </w:p>
          <w:p w:rsidR="002F5675" w:rsidRDefault="004413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Instrumentos utilizados</w:t>
            </w:r>
          </w:p>
        </w:tc>
        <w:tc>
          <w:tcPr>
            <w:tcW w:w="18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675" w:rsidRDefault="004413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Variables sociodemográficos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675" w:rsidRDefault="004413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853623">
              <w:rPr>
                <w:sz w:val="18"/>
                <w:szCs w:val="18"/>
                <w:highlight w:val="yellow"/>
              </w:rPr>
              <w:t xml:space="preserve">Variables sociodemográficos: sexo, programa matriculado, tipo de </w:t>
            </w:r>
            <w:bookmarkStart w:id="0" w:name="_GoBack"/>
            <w:r w:rsidRPr="00853623">
              <w:rPr>
                <w:sz w:val="18"/>
                <w:szCs w:val="18"/>
                <w:highlight w:val="yellow"/>
              </w:rPr>
              <w:t>universidad (pública - privada).</w:t>
            </w:r>
            <w:bookmarkEnd w:id="0"/>
          </w:p>
        </w:tc>
      </w:tr>
      <w:tr w:rsidR="002F5675">
        <w:trPr>
          <w:trHeight w:val="380"/>
        </w:trPr>
        <w:tc>
          <w:tcPr>
            <w:tcW w:w="1290" w:type="dxa"/>
            <w:vMerge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675" w:rsidRDefault="002F5675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675" w:rsidRDefault="002F5675">
            <w:pPr>
              <w:rPr>
                <w:sz w:val="18"/>
                <w:szCs w:val="18"/>
              </w:rPr>
            </w:pPr>
          </w:p>
          <w:p w:rsidR="002F5675" w:rsidRDefault="004413C4">
            <w:pPr>
              <w:rPr>
                <w:sz w:val="18"/>
                <w:szCs w:val="18"/>
              </w:rPr>
            </w:pPr>
            <w:r w:rsidRPr="00207EB5">
              <w:rPr>
                <w:sz w:val="18"/>
                <w:szCs w:val="18"/>
                <w:highlight w:val="yellow"/>
              </w:rPr>
              <w:t>GAD - 7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675" w:rsidRDefault="004413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 puntuación total osciló entre "0" y "21", </w:t>
            </w:r>
            <w:r w:rsidRPr="00C70D1B">
              <w:rPr>
                <w:sz w:val="18"/>
                <w:szCs w:val="18"/>
                <w:highlight w:val="yellow"/>
              </w:rPr>
              <w:t>y una puntuación total de 10 o más indica la presencia de síntomas de ansiedad.</w:t>
            </w:r>
            <w:r>
              <w:rPr>
                <w:sz w:val="18"/>
                <w:szCs w:val="18"/>
              </w:rPr>
              <w:t xml:space="preserve"> El GAD-7 se ha utilizado ampliamente como un instrumento confiable para evaluar el trastorno de ansiedad entre adolescentes.</w:t>
            </w:r>
          </w:p>
        </w:tc>
      </w:tr>
      <w:tr w:rsidR="002F5675">
        <w:trPr>
          <w:trHeight w:val="939"/>
        </w:trPr>
        <w:tc>
          <w:tcPr>
            <w:tcW w:w="1290" w:type="dxa"/>
            <w:vMerge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675" w:rsidRDefault="002F5675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675" w:rsidRDefault="004413C4">
            <w:pPr>
              <w:rPr>
                <w:sz w:val="18"/>
                <w:szCs w:val="18"/>
              </w:rPr>
            </w:pPr>
            <w:r w:rsidRPr="00207EB5">
              <w:rPr>
                <w:sz w:val="18"/>
                <w:szCs w:val="18"/>
                <w:highlight w:val="yellow"/>
              </w:rPr>
              <w:t>Índice de Bienestar de los Cinco de la OMS (OMS-5)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675" w:rsidRDefault="004413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 una escala de autoevaluación, contenía cinco declaraciones para comprender los sentimientos de un individuo durante las últimas dos semanas. Las opciones de respuesta de seis puntos fueron 'todo el tiem</w:t>
            </w:r>
            <w:r>
              <w:rPr>
                <w:sz w:val="18"/>
                <w:szCs w:val="18"/>
              </w:rPr>
              <w:t>po ¼ 5', 'la mayor parte del tiempo ¼ 4', 'más de la mitad del tiempo ¼ 3,' 'menos de la mitad del tiempo ¼ 2' ', tiempo ¼ 1 'y' en ningún momento ¼ 0.</w:t>
            </w:r>
          </w:p>
        </w:tc>
      </w:tr>
      <w:tr w:rsidR="002F5675">
        <w:trPr>
          <w:trHeight w:val="380"/>
        </w:trPr>
        <w:tc>
          <w:tcPr>
            <w:tcW w:w="1290" w:type="dxa"/>
            <w:vMerge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675" w:rsidRDefault="002F5675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675" w:rsidRDefault="004413C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COVID-19 (FCV-19S)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675" w:rsidRDefault="004413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miedo relacionado con los problemas de COVID-19 se evaluó mediante la escala de miedo a COVID-19 (FCV-19S) (</w:t>
            </w:r>
            <w:proofErr w:type="spellStart"/>
            <w:r>
              <w:rPr>
                <w:sz w:val="18"/>
                <w:szCs w:val="18"/>
              </w:rPr>
              <w:t>Ahorsu</w:t>
            </w:r>
            <w:proofErr w:type="spellEnd"/>
            <w:r>
              <w:rPr>
                <w:sz w:val="18"/>
                <w:szCs w:val="18"/>
              </w:rPr>
              <w:t xml:space="preserve"> et al., 2020). La FCV-19S, una escala unidimensional de siete ítems, usó respuestas tipo Likert de cinco puntos, incluyendo 'muy en desacu</w:t>
            </w:r>
            <w:r>
              <w:rPr>
                <w:sz w:val="18"/>
                <w:szCs w:val="18"/>
              </w:rPr>
              <w:t>erdo ¼ 1', 'en desacuerdo ¼ 2', 'ni de acuerdo ni en desacuerdo ¼ 3,' 'de acuerdo ¼ 4' y 'totalmente de acuerdo = 5'.</w:t>
            </w:r>
          </w:p>
        </w:tc>
      </w:tr>
      <w:tr w:rsidR="002F5675">
        <w:trPr>
          <w:trHeight w:val="380"/>
        </w:trPr>
        <w:tc>
          <w:tcPr>
            <w:tcW w:w="1290" w:type="dxa"/>
            <w:vMerge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675" w:rsidRDefault="002F5675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675" w:rsidRDefault="004413C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439F5">
              <w:rPr>
                <w:sz w:val="18"/>
                <w:szCs w:val="18"/>
                <w:highlight w:val="yellow"/>
              </w:rPr>
              <w:t>Índice de calidad del sueño de Pittsburg (PSQI)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675" w:rsidRDefault="004413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 PSQI </w:t>
            </w:r>
            <w:proofErr w:type="spellStart"/>
            <w:r>
              <w:rPr>
                <w:sz w:val="18"/>
                <w:szCs w:val="18"/>
              </w:rPr>
              <w:t>autoinformado</w:t>
            </w:r>
            <w:proofErr w:type="spellEnd"/>
            <w:r>
              <w:rPr>
                <w:sz w:val="18"/>
                <w:szCs w:val="18"/>
              </w:rPr>
              <w:t>, que consta de siete componentes con 24 preguntas, evalúa la calidad del sueño durante el mes anterior. Cada elemento tiene su puntuación única, que va de "0" a "3", con puntos más altos significa una mala calidad del sueño. En este e</w:t>
            </w:r>
            <w:r>
              <w:rPr>
                <w:sz w:val="18"/>
                <w:szCs w:val="18"/>
              </w:rPr>
              <w:t xml:space="preserve">studio, usamos solo el primer componente de PSQI, la 'calidad subjetiva del sueño', en una escala de cuatro puntos, que incluye 'muy buena ¼ 0', 'bastante buena ¼ 1', 'bastante mala ¼ 2' y ' muy mala ¼ 3. </w:t>
            </w:r>
            <w:r w:rsidRPr="00C70D1B">
              <w:rPr>
                <w:sz w:val="18"/>
                <w:szCs w:val="18"/>
                <w:highlight w:val="yellow"/>
              </w:rPr>
              <w:t>'Las respuestas se recodificaron en' buenas '(' muy</w:t>
            </w:r>
            <w:r w:rsidRPr="00C70D1B">
              <w:rPr>
                <w:sz w:val="18"/>
                <w:szCs w:val="18"/>
                <w:highlight w:val="yellow"/>
              </w:rPr>
              <w:t xml:space="preserve"> buenas 'y' bastante buenas ') y' malas</w:t>
            </w:r>
            <w:r>
              <w:rPr>
                <w:sz w:val="18"/>
                <w:szCs w:val="18"/>
              </w:rPr>
              <w:t xml:space="preserve"> '(' bastante malas 'y' muy malas ').</w:t>
            </w:r>
          </w:p>
        </w:tc>
      </w:tr>
    </w:tbl>
    <w:p w:rsidR="002F5675" w:rsidRDefault="002F5675"/>
    <w:p w:rsidR="002F5675" w:rsidRDefault="002F5675"/>
    <w:p w:rsidR="002F5675" w:rsidRDefault="002F5675"/>
    <w:p w:rsidR="002F5675" w:rsidRDefault="002F5675"/>
    <w:p w:rsidR="002F5675" w:rsidRDefault="002F5675"/>
    <w:sectPr w:rsidR="002F567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675"/>
    <w:rsid w:val="00207EB5"/>
    <w:rsid w:val="002F5675"/>
    <w:rsid w:val="00375740"/>
    <w:rsid w:val="004413C4"/>
    <w:rsid w:val="00853623"/>
    <w:rsid w:val="00C70D1B"/>
    <w:rsid w:val="00D4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B43518-4A12-4E40-88CC-E10806B03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1</Pages>
  <Words>322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2021-09-11T20:22:00Z</dcterms:created>
  <dcterms:modified xsi:type="dcterms:W3CDTF">2021-09-12T06:59:00Z</dcterms:modified>
</cp:coreProperties>
</file>