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28"/>
        </w:rPr>
        <w:t>Software Engineering Management and Economics</w:t>
      </w:r>
    </w:p>
    <w:p>
      <w:pPr>
        <w:jc w:val="center"/>
      </w:pPr>
      <w:r>
        <w:rPr>
          <w:rFonts w:ascii="Times New Roman" w:hAnsi="Times New Roman" w:eastAsia="宋体"/>
          <w:b/>
          <w:sz w:val="28"/>
        </w:rPr>
        <w:t>Experiment III Report</w:t>
      </w:r>
    </w:p>
    <w:p>
      <w:pPr>
        <w:jc w:val="center"/>
      </w:pPr>
      <w:r>
        <w:rPr>
          <w:rFonts w:ascii="Times New Roman" w:hAnsi="Times New Roman" w:eastAsia="宋体"/>
          <w:b/>
          <w:sz w:val="28"/>
        </w:rPr>
        <w:t>Economical Evaluation of Software Project</w:t>
      </w:r>
    </w:p>
    <w:p>
      <w:r>
        <w:rPr>
          <w:rFonts w:ascii="Times New Roman" w:hAnsi="Times New Roman" w:eastAsia="宋体"/>
          <w:b w:val="0"/>
          <w:sz w:val="24"/>
        </w:rPr>
      </w:r>
    </w:p>
    <w:p>
      <w:pPr>
        <w:jc w:val="center"/>
      </w:pPr>
      <w:r>
        <w:rPr>
          <w:rFonts w:ascii="Times New Roman" w:hAnsi="Times New Roman" w:eastAsia="宋体"/>
          <w:b/>
          <w:sz w:val="26"/>
        </w:rPr>
        <w:t>Course Project: HeartCompass (Digital Immortality System)</w:t>
      </w:r>
    </w:p>
    <w:p>
      <w:r>
        <w:rPr>
          <w:rFonts w:ascii="Times New Roman" w:hAnsi="Times New Roman" w:eastAsia="宋体"/>
          <w:b w:val="0"/>
          <w:sz w:val="24"/>
        </w:rPr>
      </w:r>
    </w:p>
    <w:tbl>
      <w:tblPr>
        <w:tblStyle w:val="TableGrid"/>
        <w:tblW w:type="auto" w:w="0"/>
        <w:tblLook w:firstColumn="1" w:firstRow="1" w:lastColumn="0" w:lastRow="0" w:noHBand="0" w:noVBand="1" w:val="04A0"/>
      </w:tblPr>
      <w:tblGrid>
        <w:gridCol w:w="4317"/>
        <w:gridCol w:w="4317"/>
      </w:tblGrid>
      <w:tr>
        <w:tc>
          <w:tcPr>
            <w:tcW w:type="dxa" w:w="4317"/>
          </w:tcPr>
          <w:p>
            <w:pPr>
              <w:jc w:val="left"/>
            </w:pPr>
            <w:r/>
            <w:r>
              <w:rPr>
                <w:rFonts w:ascii="Times New Roman" w:hAnsi="Times New Roman" w:eastAsia="宋体"/>
                <w:b/>
                <w:sz w:val="22"/>
              </w:rPr>
              <w:t>Student Name</w:t>
            </w:r>
          </w:p>
        </w:tc>
        <w:tc>
          <w:tcPr>
            <w:tcW w:type="dxa" w:w="4317"/>
          </w:tcPr>
          <w:p>
            <w:pPr>
              <w:jc w:val="left"/>
            </w:pPr>
            <w:r/>
            <w:r>
              <w:rPr>
                <w:rFonts w:ascii="Times New Roman" w:hAnsi="Times New Roman" w:eastAsia="宋体"/>
                <w:b w:val="0"/>
                <w:sz w:val="22"/>
              </w:rPr>
              <w:t>Haojie Hu</w:t>
            </w:r>
          </w:p>
        </w:tc>
      </w:tr>
      <w:tr>
        <w:tc>
          <w:tcPr>
            <w:tcW w:type="dxa" w:w="4317"/>
          </w:tcPr>
          <w:p>
            <w:pPr>
              <w:jc w:val="left"/>
            </w:pPr>
            <w:r/>
            <w:r>
              <w:rPr>
                <w:rFonts w:ascii="Times New Roman" w:hAnsi="Times New Roman" w:eastAsia="宋体"/>
                <w:b/>
                <w:sz w:val="22"/>
              </w:rPr>
              <w:t>Student ID</w:t>
            </w:r>
          </w:p>
        </w:tc>
        <w:tc>
          <w:tcPr>
            <w:tcW w:type="dxa" w:w="4317"/>
          </w:tcPr>
          <w:p>
            <w:pPr>
              <w:jc w:val="left"/>
            </w:pPr>
            <w:r/>
            <w:r>
              <w:rPr>
                <w:rFonts w:ascii="Times New Roman" w:hAnsi="Times New Roman" w:eastAsia="宋体"/>
                <w:b w:val="0"/>
                <w:sz w:val="22"/>
              </w:rPr>
              <w:t>2351493</w:t>
            </w:r>
          </w:p>
        </w:tc>
      </w:tr>
      <w:tr>
        <w:tc>
          <w:tcPr>
            <w:tcW w:type="dxa" w:w="4317"/>
          </w:tcPr>
          <w:p>
            <w:pPr>
              <w:jc w:val="left"/>
            </w:pPr>
            <w:r/>
            <w:r>
              <w:rPr>
                <w:rFonts w:ascii="Times New Roman" w:hAnsi="Times New Roman" w:eastAsia="宋体"/>
                <w:b/>
                <w:sz w:val="22"/>
              </w:rPr>
              <w:t>Instructor</w:t>
            </w:r>
          </w:p>
        </w:tc>
        <w:tc>
          <w:tcPr>
            <w:tcW w:type="dxa" w:w="4317"/>
          </w:tcPr>
          <w:p>
            <w:pPr>
              <w:jc w:val="left"/>
            </w:pPr>
            <w:r/>
            <w:r>
              <w:rPr>
                <w:rFonts w:ascii="Times New Roman" w:hAnsi="Times New Roman" w:eastAsia="宋体"/>
                <w:b w:val="0"/>
                <w:sz w:val="22"/>
              </w:rPr>
              <w:t>Du Bowen</w:t>
            </w:r>
          </w:p>
        </w:tc>
      </w:tr>
      <w:tr>
        <w:tc>
          <w:tcPr>
            <w:tcW w:type="dxa" w:w="4317"/>
          </w:tcPr>
          <w:p>
            <w:pPr>
              <w:jc w:val="left"/>
            </w:pPr>
            <w:r/>
            <w:r>
              <w:rPr>
                <w:rFonts w:ascii="Times New Roman" w:hAnsi="Times New Roman" w:eastAsia="宋体"/>
                <w:b/>
                <w:sz w:val="22"/>
              </w:rPr>
              <w:t>Submission Date</w:t>
            </w:r>
          </w:p>
        </w:tc>
        <w:tc>
          <w:tcPr>
            <w:tcW w:type="dxa" w:w="4317"/>
          </w:tcPr>
          <w:p>
            <w:pPr>
              <w:jc w:val="left"/>
            </w:pPr>
            <w:r/>
            <w:r>
              <w:rPr>
                <w:rFonts w:ascii="Times New Roman" w:hAnsi="Times New Roman" w:eastAsia="宋体"/>
                <w:b w:val="0"/>
                <w:sz w:val="22"/>
              </w:rPr>
              <w:t>June 22, 2026</w:t>
            </w:r>
          </w:p>
        </w:tc>
      </w:tr>
    </w:tbl>
    <w:p/>
    <w:p/>
    <w:p>
      <w:pPr>
        <w:pStyle w:val="Heading1"/>
      </w:pPr>
      <w:r>
        <w:rPr>
          <w:rFonts w:ascii="Times New Roman" w:hAnsi="Times New Roman" w:eastAsia="黑体"/>
        </w:rPr>
        <w:t>Abstract</w:t>
      </w:r>
    </w:p>
    <w:p>
      <w:r>
        <w:rPr>
          <w:rFonts w:ascii="Times New Roman" w:hAnsi="Times New Roman" w:eastAsia="宋体"/>
          <w:b w:val="0"/>
          <w:sz w:val="24"/>
        </w:rPr>
        <w:t>This report takes the course project HeartCompass (Digital Immortality System) as the evaluation object and, in accordance with the software project economical evaluation experiment requirements, analyzes its business goal, target users, market environment, cost structure, revenue model, taxes, cash flow, and economic evaluation indicators. HeartCompass is not positioned as a conventional chatbot or a static knowledge base. Instead, through long-term memory, user/persona profiles, vector retrieval, and large-model dialogue, it aims to gradually distill a "digital companion persona" capable of continuous, context-aware interaction.</w:t>
      </w:r>
    </w:p>
    <w:p>
      <w:r>
        <w:rPr>
          <w:rFonts w:ascii="Times New Roman" w:hAnsi="Times New Roman" w:eastAsia="宋体"/>
          <w:b w:val="0"/>
          <w:sz w:val="24"/>
        </w:rPr>
        <w:t>Under the benchmark scenario, the five-year net present value (NPV) of the project is approximately RMB 438,700, the internal rate of return (IRR) is approximately 70.47%, and the dynamic investment payback period is approximately 2.33 years. Sensitivity analysis covering revenue decline of 20% combined with cost increase of 10% still yields a positive NPV. Therefore, based on the existing course project prototype, HeartCompass demonstrates economic feasibility for continued refinement and small-scale product validation.</w:t>
      </w:r>
    </w:p>
    <w:p>
      <w:pPr>
        <w:pStyle w:val="Heading1"/>
      </w:pPr>
      <w:r>
        <w:rPr>
          <w:rFonts w:ascii="Times New Roman" w:hAnsi="Times New Roman" w:eastAsia="黑体"/>
        </w:rPr>
        <w:t>I. Experimental Purpose and Principles</w:t>
      </w:r>
    </w:p>
    <w:p>
      <w:pPr>
        <w:pStyle w:val="Heading2"/>
      </w:pPr>
      <w:r>
        <w:rPr>
          <w:rFonts w:ascii="Times New Roman" w:hAnsi="Times New Roman" w:eastAsia="黑体"/>
        </w:rPr>
        <w:t>1.1 Experimental Purpose</w:t>
      </w:r>
    </w:p>
    <w:p>
      <w:r>
        <w:rPr>
          <w:rFonts w:ascii="Times New Roman" w:hAnsi="Times New Roman" w:eastAsia="宋体"/>
          <w:b w:val="0"/>
          <w:sz w:val="24"/>
        </w:rPr>
        <w:t>The purpose of this experiment is to design and complete a comprehensive economical evaluation report for a software project, using the course project as the evaluation object. Through this experiment, I need to: (1) master the modeling methods of software project evaluation; (2) understand software product pricing strategies; (3) record experimental procedures, organize experimental data, and establish parameter mapping relationships among financial tables; and (4) apply economic evaluation models to analyze the economic benefits and feasibility of software projects.</w:t>
      </w:r>
    </w:p>
    <w:p>
      <w:r>
        <w:rPr>
          <w:rFonts w:ascii="Times New Roman" w:hAnsi="Times New Roman" w:eastAsia="宋体"/>
          <w:b w:val="0"/>
          <w:sz w:val="24"/>
        </w:rPr>
        <w:t>This report uses the HeartCompass course project as the evaluation object and completes the following work: clarifying the business goal of the project; collecting and organizing basic project information, market and economic environment data, and technical constraints; designing a business model and pricing strategy aligned with concrete user needs; estimating project size, investment, cost, and revenue; preparing auxiliary financial analysis statements; calculating project investment cash flow, NPV, IRR, and dynamic investment payback period; and ultimately judging the economic feasibility of the project.</w:t>
      </w:r>
    </w:p>
    <w:p>
      <w:pPr>
        <w:pStyle w:val="Heading2"/>
      </w:pPr>
      <w:r>
        <w:rPr>
          <w:rFonts w:ascii="Times New Roman" w:hAnsi="Times New Roman" w:eastAsia="黑体"/>
        </w:rPr>
        <w:t>1.2 Experimental Principles</w:t>
      </w:r>
    </w:p>
    <w:p>
      <w:r>
        <w:rPr>
          <w:rFonts w:ascii="Times New Roman" w:hAnsi="Times New Roman" w:eastAsia="宋体"/>
          <w:b w:val="0"/>
          <w:sz w:val="24"/>
        </w:rPr>
        <w:t>The economical evaluation of a software project involves predicting the investment, revenue, cost, taxes, and cash flow of the project under the assumptions of the current fiscal and taxation system, market price system, and project life cycle, and then determining whether the project possesses profitability, investment recovery capability, and sustainable operation capacity.</w:t>
      </w:r>
    </w:p>
    <w:p>
      <w:r>
        <w:rPr>
          <w:rFonts w:ascii="Times New Roman" w:hAnsi="Times New Roman" w:eastAsia="宋体"/>
          <w:b w:val="0"/>
          <w:sz w:val="24"/>
        </w:rPr>
        <w:t>This experiment adopts the project investment analysis approach (pre-financing analysis). It does not consider debt financing, interest expenses, or complex capital structures, but evaluates profitability purely from the perspective of the cash flows generated by the project itself. The main evaluation indicators are:</w:t>
      </w:r>
    </w:p>
    <w:p>
      <w:r>
        <w:rPr>
          <w:rFonts w:ascii="Times New Roman" w:hAnsi="Times New Roman" w:eastAsia="宋体"/>
          <w:b w:val="0"/>
          <w:sz w:val="24"/>
        </w:rPr>
        <w:t>• Net Present Value (NPV): NPV = Σ(CI − CO)ₜ × (1 + i₀)⁻ᵗ</w:t>
        <w:br/>
        <w:t>• Internal Rate of Return (IRR): the discount rate that makes NPV = 0.</w:t>
        <w:br/>
        <w:t>• Dynamic Investment Payback Period (Pₜ'): the time required for the cumulative discounted net cash flow to turn from negative to positive.</w:t>
        <w:br/>
        <w:br/>
        <w:t>In the formulas above, CI represents cash inflow, CO represents cash outflow, i₀ represents the benchmark discount rate, and t represents the time period. If NPV &gt; 0, IRR &gt; benchmark discount rate, and Pₜ' &lt; project life cycle, the project is generally considered economically feasible.</w:t>
      </w:r>
    </w:p>
    <w:p>
      <w:pPr>
        <w:pStyle w:val="Heading1"/>
      </w:pPr>
      <w:r>
        <w:rPr>
          <w:rFonts w:ascii="Times New Roman" w:hAnsi="Times New Roman" w:eastAsia="黑体"/>
        </w:rPr>
        <w:t>II. Course Project Overview and Basic Data</w:t>
      </w:r>
    </w:p>
    <w:p>
      <w:pPr>
        <w:pStyle w:val="Heading2"/>
      </w:pPr>
      <w:r>
        <w:rPr>
          <w:rFonts w:ascii="Times New Roman" w:hAnsi="Times New Roman" w:eastAsia="黑体"/>
        </w:rPr>
        <w:t>2.1 Basic Project Information</w:t>
      </w:r>
    </w:p>
    <w:tbl>
      <w:tblPr>
        <w:tblStyle w:val="TableGrid"/>
        <w:tblW w:type="auto" w:w="0"/>
        <w:jc w:val="center"/>
        <w:tblLook w:firstColumn="1" w:firstRow="1" w:lastColumn="0" w:lastRow="0" w:noHBand="0" w:noVBand="1" w:val="04A0"/>
      </w:tblPr>
      <w:tblGrid>
        <w:gridCol w:w="4317"/>
        <w:gridCol w:w="4317"/>
      </w:tblGrid>
      <w:tr>
        <w:tc>
          <w:tcPr>
            <w:tcW w:type="dxa" w:w="2268"/>
            <w:shd w:fill="D9E2F3" w:val="clear"/>
          </w:tcPr>
          <w:p>
            <w:pPr>
              <w:jc w:val="center"/>
            </w:pPr>
            <w:r/>
            <w:r>
              <w:rPr>
                <w:rFonts w:ascii="Times New Roman" w:hAnsi="Times New Roman" w:eastAsia="宋体"/>
                <w:b/>
                <w:sz w:val="20"/>
              </w:rPr>
              <w:t>Project Element</w:t>
            </w:r>
          </w:p>
        </w:tc>
        <w:tc>
          <w:tcPr>
            <w:tcW w:type="dxa" w:w="6803"/>
            <w:shd w:fill="D9E2F3" w:val="clear"/>
          </w:tcPr>
          <w:p>
            <w:pPr>
              <w:jc w:val="center"/>
            </w:pPr>
            <w:r/>
            <w:r>
              <w:rPr>
                <w:rFonts w:ascii="Times New Roman" w:hAnsi="Times New Roman" w:eastAsia="宋体"/>
                <w:b/>
                <w:sz w:val="20"/>
              </w:rPr>
              <w:t>Description</w:t>
            </w:r>
          </w:p>
        </w:tc>
      </w:tr>
      <w:tr>
        <w:tc>
          <w:tcPr>
            <w:tcW w:type="dxa" w:w="2268"/>
          </w:tcPr>
          <w:p>
            <w:pPr>
              <w:jc w:val="left"/>
            </w:pPr>
            <w:r/>
            <w:r>
              <w:rPr>
                <w:rFonts w:ascii="Times New Roman" w:hAnsi="Times New Roman" w:eastAsia="宋体"/>
                <w:b w:val="0"/>
                <w:sz w:val="20"/>
              </w:rPr>
              <w:t>Project Name</w:t>
            </w:r>
          </w:p>
        </w:tc>
        <w:tc>
          <w:tcPr>
            <w:tcW w:type="dxa" w:w="6803"/>
          </w:tcPr>
          <w:p>
            <w:pPr>
              <w:jc w:val="center"/>
            </w:pPr>
            <w:r/>
            <w:r>
              <w:rPr>
                <w:rFonts w:ascii="Times New Roman" w:hAnsi="Times New Roman" w:eastAsia="宋体"/>
                <w:b w:val="0"/>
                <w:sz w:val="20"/>
              </w:rPr>
              <w:t>HeartCompass (Digital Immortality / Digital Companion Persona System)</w:t>
            </w:r>
          </w:p>
        </w:tc>
      </w:tr>
      <w:tr>
        <w:tc>
          <w:tcPr>
            <w:tcW w:type="dxa" w:w="2268"/>
          </w:tcPr>
          <w:p>
            <w:pPr>
              <w:jc w:val="left"/>
            </w:pPr>
            <w:r/>
            <w:r>
              <w:rPr>
                <w:rFonts w:ascii="Times New Roman" w:hAnsi="Times New Roman" w:eastAsia="宋体"/>
                <w:b w:val="0"/>
                <w:sz w:val="20"/>
              </w:rPr>
              <w:t>Project Type</w:t>
            </w:r>
          </w:p>
        </w:tc>
        <w:tc>
          <w:tcPr>
            <w:tcW w:type="dxa" w:w="6803"/>
          </w:tcPr>
          <w:p>
            <w:pPr>
              <w:jc w:val="center"/>
            </w:pPr>
            <w:r/>
            <w:r>
              <w:rPr>
                <w:rFonts w:ascii="Times New Roman" w:hAnsi="Times New Roman" w:eastAsia="宋体"/>
                <w:b w:val="0"/>
                <w:sz w:val="20"/>
              </w:rPr>
              <w:t>AI-driven long-term memory and digital companionship service</w:t>
            </w:r>
          </w:p>
        </w:tc>
      </w:tr>
      <w:tr>
        <w:tc>
          <w:tcPr>
            <w:tcW w:type="dxa" w:w="2268"/>
          </w:tcPr>
          <w:p>
            <w:pPr>
              <w:jc w:val="left"/>
            </w:pPr>
            <w:r/>
            <w:r>
              <w:rPr>
                <w:rFonts w:ascii="Times New Roman" w:hAnsi="Times New Roman" w:eastAsia="宋体"/>
                <w:b w:val="0"/>
                <w:sz w:val="20"/>
              </w:rPr>
              <w:t>Core Positioning</w:t>
            </w:r>
          </w:p>
        </w:tc>
        <w:tc>
          <w:tcPr>
            <w:tcW w:type="dxa" w:w="6803"/>
          </w:tcPr>
          <w:p>
            <w:pPr>
              <w:jc w:val="center"/>
            </w:pPr>
            <w:r/>
            <w:r>
              <w:rPr>
                <w:rFonts w:ascii="Times New Roman" w:hAnsi="Times New Roman" w:eastAsia="宋体"/>
                <w:b w:val="0"/>
                <w:sz w:val="20"/>
              </w:rPr>
              <w:t>Distilling a continuously interactive digital companion persona through long-term memory, persona profiling, and context-aware dialogue</w:t>
            </w:r>
          </w:p>
        </w:tc>
      </w:tr>
      <w:tr>
        <w:tc>
          <w:tcPr>
            <w:tcW w:type="dxa" w:w="2268"/>
          </w:tcPr>
          <w:p>
            <w:pPr>
              <w:jc w:val="left"/>
            </w:pPr>
            <w:r/>
            <w:r>
              <w:rPr>
                <w:rFonts w:ascii="Times New Roman" w:hAnsi="Times New Roman" w:eastAsia="宋体"/>
                <w:b w:val="0"/>
                <w:sz w:val="20"/>
              </w:rPr>
              <w:t>Main Form</w:t>
            </w:r>
          </w:p>
        </w:tc>
        <w:tc>
          <w:tcPr>
            <w:tcW w:type="dxa" w:w="6803"/>
          </w:tcPr>
          <w:p>
            <w:pPr>
              <w:jc w:val="center"/>
            </w:pPr>
            <w:r/>
            <w:r>
              <w:rPr>
                <w:rFonts w:ascii="Times New Roman" w:hAnsi="Times New Roman" w:eastAsia="宋体"/>
                <w:b w:val="0"/>
                <w:sz w:val="20"/>
              </w:rPr>
              <w:t>CLI tool + backend service + Feishu (Lark) bot + vector database</w:t>
            </w:r>
          </w:p>
        </w:tc>
      </w:tr>
      <w:tr>
        <w:tc>
          <w:tcPr>
            <w:tcW w:type="dxa" w:w="2268"/>
          </w:tcPr>
          <w:p>
            <w:pPr>
              <w:jc w:val="left"/>
            </w:pPr>
            <w:r/>
            <w:r>
              <w:rPr>
                <w:rFonts w:ascii="Times New Roman" w:hAnsi="Times New Roman" w:eastAsia="宋体"/>
                <w:b w:val="0"/>
                <w:sz w:val="20"/>
              </w:rPr>
              <w:t>Core Technologies</w:t>
            </w:r>
          </w:p>
        </w:tc>
        <w:tc>
          <w:tcPr>
            <w:tcW w:type="dxa" w:w="6803"/>
          </w:tcPr>
          <w:p>
            <w:pPr>
              <w:jc w:val="center"/>
            </w:pPr>
            <w:r/>
            <w:r>
              <w:rPr>
                <w:rFonts w:ascii="Times New Roman" w:hAnsi="Times New Roman" w:eastAsia="宋体"/>
                <w:b w:val="0"/>
                <w:sz w:val="20"/>
              </w:rPr>
              <w:t>Python, LangChain/LangGraph, PostgreSQL/pgvector, Volcengine Ark LLM, Feishu Open Platform, Docker</w:t>
            </w:r>
          </w:p>
        </w:tc>
      </w:tr>
      <w:tr>
        <w:tc>
          <w:tcPr>
            <w:tcW w:type="dxa" w:w="2268"/>
          </w:tcPr>
          <w:p>
            <w:pPr>
              <w:jc w:val="left"/>
            </w:pPr>
            <w:r/>
            <w:r>
              <w:rPr>
                <w:rFonts w:ascii="Times New Roman" w:hAnsi="Times New Roman" w:eastAsia="宋体"/>
                <w:b w:val="0"/>
                <w:sz w:val="20"/>
              </w:rPr>
              <w:t>Target Users</w:t>
            </w:r>
          </w:p>
        </w:tc>
        <w:tc>
          <w:tcPr>
            <w:tcW w:type="dxa" w:w="6803"/>
          </w:tcPr>
          <w:p>
            <w:pPr>
              <w:jc w:val="center"/>
            </w:pPr>
            <w:r/>
            <w:r>
              <w:rPr>
                <w:rFonts w:ascii="Times New Roman" w:hAnsi="Times New Roman" w:eastAsia="宋体"/>
                <w:b w:val="0"/>
                <w:sz w:val="20"/>
              </w:rPr>
              <w:t>Individuals or small groups with needs for long-term companionship, memory preservation, and contextual continuity</w:t>
            </w:r>
          </w:p>
        </w:tc>
      </w:tr>
      <w:tr>
        <w:tc>
          <w:tcPr>
            <w:tcW w:type="dxa" w:w="2268"/>
          </w:tcPr>
          <w:p>
            <w:pPr>
              <w:jc w:val="left"/>
            </w:pPr>
            <w:r/>
            <w:r>
              <w:rPr>
                <w:rFonts w:ascii="Times New Roman" w:hAnsi="Times New Roman" w:eastAsia="宋体"/>
                <w:b w:val="0"/>
                <w:sz w:val="20"/>
              </w:rPr>
              <w:t>Project Stage</w:t>
            </w:r>
          </w:p>
        </w:tc>
        <w:tc>
          <w:tcPr>
            <w:tcW w:type="dxa" w:w="6803"/>
          </w:tcPr>
          <w:p>
            <w:pPr>
              <w:jc w:val="center"/>
            </w:pPr>
            <w:r/>
            <w:r>
              <w:rPr>
                <w:rFonts w:ascii="Times New Roman" w:hAnsi="Times New Roman" w:eastAsia="宋体"/>
                <w:b w:val="0"/>
                <w:sz w:val="20"/>
              </w:rPr>
              <w:t>MVP prototype completed; all 30 WBS tasks delivered; 298 person-hours</w:t>
            </w:r>
          </w:p>
        </w:tc>
      </w:tr>
    </w:tbl>
    <w:p/>
    <w:p>
      <w:r>
        <w:rPr>
          <w:rFonts w:ascii="Times New Roman" w:hAnsi="Times New Roman" w:eastAsia="宋体"/>
          <w:b w:val="0"/>
          <w:sz w:val="24"/>
        </w:rPr>
        <w:t>HeartCompass is the AI digital companion persona system developed in this course project. The core problem the project addresses is that conventional AI conversations typically focus only on single-session interactions and cannot stably remember a user's long-term experiences, relationship changes, and important events. In practice, companionship needs require the system to continuously understand a person, remember past communications, form a relatively stable persona profile, and reflect continuity in subsequent conversations.</w:t>
      </w:r>
    </w:p>
    <w:p>
      <w:r>
        <w:rPr>
          <w:rFonts w:ascii="Times New Roman" w:hAnsi="Times New Roman" w:eastAsia="宋体"/>
          <w:b w:val="0"/>
          <w:sz w:val="24"/>
        </w:rPr>
        <w:t>Around this goal, HeartCompass implements the architecture of "long-term memory + persona profile + dialogue entry point + periodic synchronization." Users complete configuration and interaction through the CLI and Feishu bot. The backend uses PostgreSQL/pgvector and LangGraph orchestration to preserve information and combine it with large-model inference to generate responses that are progressively closer to a specific person and relationship. The project has delivered a runnable engineering prototype encompassing CLI, backend services, database, model configuration, Feishu bot integration, logging, and test suites.</w:t>
      </w:r>
    </w:p>
    <w:p>
      <w:pPr>
        <w:pStyle w:val="Heading2"/>
      </w:pPr>
      <w:r>
        <w:rPr>
          <w:rFonts w:ascii="Times New Roman" w:hAnsi="Times New Roman" w:eastAsia="黑体"/>
        </w:rPr>
        <w:t>2.2 Business Goal</w:t>
      </w:r>
    </w:p>
    <w:p>
      <w:r>
        <w:rPr>
          <w:rFonts w:ascii="Times New Roman" w:hAnsi="Times New Roman" w:eastAsia="宋体"/>
          <w:b w:val="0"/>
          <w:sz w:val="24"/>
        </w:rPr>
        <w:t>The business goal of HeartCompass is not to first build a generalized enterprise AI platform, but to validate whether the concrete demand for a "digital companion persona" is genuine. The project follows a three-stage roadmap:</w:t>
      </w:r>
    </w:p>
    <w:p>
      <w:r>
        <w:rPr>
          <w:rFonts w:ascii="Times New Roman" w:hAnsi="Times New Roman" w:eastAsia="宋体"/>
          <w:b w:val="0"/>
          <w:sz w:val="24"/>
        </w:rPr>
        <w:t>• Stage 1 (MVP Validation): Complete the MVP version and seed-user testing, verifying installation, digital companion persona creation, long-term memory storage, persona profile synchronization, and Feishu bot interaction.</w:t>
        <w:br/>
        <w:t>• Stage 2 (Subscription Launch): Launch subscription services around personal companionship and deep companionship, focusing on whether users are willing to pay for long-term memory, profile updates, and higher model invocation quotas.</w:t>
        <w:br/>
        <w:t>• Stage 3 (Scenario Expansion): Provide shared memory spaces and customized commemorative archive services for families, small groups, graduation project teams, or research groups, thereby increasing average revenue per user in small-scale scenarios.</w:t>
      </w:r>
    </w:p>
    <w:p>
      <w:pPr>
        <w:pStyle w:val="Heading2"/>
      </w:pPr>
      <w:r>
        <w:rPr>
          <w:rFonts w:ascii="Times New Roman" w:hAnsi="Times New Roman" w:eastAsia="黑体"/>
        </w:rPr>
        <w:t>2.3 Market, Economic, and Social Environment Analysis</w:t>
      </w:r>
    </w:p>
    <w:p>
      <w:r>
        <w:rPr>
          <w:rFonts w:ascii="Times New Roman" w:hAnsi="Times New Roman" w:eastAsia="宋体"/>
          <w:b w:val="0"/>
          <w:sz w:val="24"/>
        </w:rPr>
        <w:t>From the demand perspective, HeartCompass targets concrete needs for long-term companionship and memory accumulation rather than an abstract "AI tool market." Typical scenarios include: (1) users who wish to record personal growth and emotional changes; (2) users who want to preserve stories, habits, and important milestones related to family and friends; (3) users who need AI to remember discussion contexts in long-term projects; and (4) users who need a companion entity capable of continuously understanding context in daily work and study.</w:t>
      </w:r>
    </w:p>
    <w:p>
      <w:r>
        <w:rPr>
          <w:rFonts w:ascii="Times New Roman" w:hAnsi="Times New Roman" w:eastAsia="宋体"/>
          <w:b w:val="0"/>
          <w:sz w:val="24"/>
        </w:rPr>
        <w:t>From the economic perspective, the cost structure of a digital companion persona service primarily comes from servers, databases, model API calls, data storage, operations, and user support. Since the project leverages open-source components (LangGraph, PostgreSQL/pgvector) and cloud model services (Volcengine Ark), the initial hardware investment is moderate. However, as conversation frequency increases, model API costs will rise significantly. Therefore, the business model must incorporate invocation quotas, summary compression, caching mechanisms, and tiered model routing to control marginal costs.</w:t>
      </w:r>
    </w:p>
    <w:p>
      <w:r>
        <w:rPr>
          <w:rFonts w:ascii="Times New Roman" w:hAnsi="Times New Roman" w:eastAsia="宋体"/>
          <w:b w:val="0"/>
          <w:sz w:val="24"/>
        </w:rPr>
        <w:t>From the social value perspective, the project can help users preserve long-term memories, reduce information loss, improve personal knowledge reuse efficiency, and provide lightweight memory archives for families and small teams. However, because the system handles chat records, persona profiles, and personal events, user authorization, data isolation, deletion mechanisms, encrypted storage, and privacy notices must be treated as mandatory constraints.</w:t>
      </w:r>
    </w:p>
    <w:p>
      <w:pPr>
        <w:pStyle w:val="Heading2"/>
      </w:pPr>
      <w:r>
        <w:rPr>
          <w:rFonts w:ascii="Times New Roman" w:hAnsi="Times New Roman" w:eastAsia="黑体"/>
        </w:rPr>
        <w:t>2.4 Technical and Economic Limitations</w:t>
      </w:r>
    </w:p>
    <w:p>
      <w:r>
        <w:rPr>
          <w:rFonts w:ascii="Times New Roman" w:hAnsi="Times New Roman" w:eastAsia="宋体"/>
          <w:b w:val="0"/>
          <w:sz w:val="24"/>
        </w:rPr>
        <w:t>• Technical limitation: A digital companion persona requires long-term operation, continuous memory, and stable responses, so its deployment and maintenance complexity exceeds that of a one-time AI demo.</w:t>
        <w:br/>
        <w:t>• Cost limitation: Model API costs are directly correlated with user conversation frequency; invocation quotas, summary compression, and caching are needed to control marginal cost.</w:t>
        <w:br/>
        <w:t>• Market limitation: Willingness to pay for personal companionship products still requires validation. Early-stage small-scale seed-user testing should precede large-scale commercial rollout.</w:t>
        <w:br/>
        <w:t>• Compliance limitation: Since personal memories, chat records, and persona profiles are involved, the system must support user authorization, data deletion, permission isolation, and necessary privacy protection measures.</w:t>
      </w:r>
    </w:p>
    <w:p>
      <w:pPr>
        <w:pStyle w:val="Heading2"/>
      </w:pPr>
      <w:r>
        <w:rPr>
          <w:rFonts w:ascii="Times New Roman" w:hAnsi="Times New Roman" w:eastAsia="黑体"/>
        </w:rPr>
        <w:t>2.5 Data Collection Methodology</w:t>
      </w:r>
    </w:p>
    <w:p>
      <w:r>
        <w:rPr>
          <w:rFonts w:ascii="Times New Roman" w:hAnsi="Times New Roman" w:eastAsia="宋体"/>
          <w:b w:val="0"/>
          <w:sz w:val="24"/>
        </w:rPr>
        <w:t>In accordance with the experiment requirement to "collect basic information about the market, economic &amp; social environment, technical and economic limitations of the course project by online and offline," this report gathered data from the following sources:</w:t>
      </w:r>
    </w:p>
    <w:p>
      <w:r>
        <w:rPr>
          <w:rFonts w:ascii="Times New Roman" w:hAnsi="Times New Roman" w:eastAsia="宋体"/>
          <w:b w:val="0"/>
          <w:sz w:val="24"/>
        </w:rPr>
        <w:t>• Online sources: (1) The HeartCompass GitHub repository (github.com/Jackey0903/HeartCompass) provided actual engineering data including 298 person-hours of WBS-tracked effort, 30 completed tasks, and NESMA function point measurements of 54 FP. (2) The 2024 China Software Industry Benchmark Data (CSBMK-202410) provided the regional labor rate of 32,129 RMB/Person-Month for Beijing. (3) Volcengine Ark platform documentation provided model API pricing data. (4) Public tax administration information provided current VAT (6%), corporate income tax (25%), and surcharge rates.</w:t>
        <w:br/>
        <w:t>• Offline sources: (1) Course project documentation including README.md, BRIEF_INTRO.md, WBS_TRACKING.md, and five biweekly reports provided project scope, architecture, and progress data. (2) The "Economic Evaluation Methods and Parameters for Construction Projects (Third Edition)" (NDRC &amp; MOC, 2006) provided the benchmark discount rate and evaluation methodology framework. (3) NESMA Function Point Analysis standards provided the size measurement framework.</w:t>
      </w:r>
    </w:p>
    <w:p>
      <w:r>
        <w:rPr>
          <w:rFonts w:ascii="Times New Roman" w:hAnsi="Times New Roman" w:eastAsia="宋体"/>
          <w:b w:val="0"/>
          <w:sz w:val="24"/>
        </w:rPr>
        <w:t>All financial parameters used in this report are traceable to their sources. The blended labor rate of RMB 178.49/hour is derived from the CSBMK-202410 Beijing regional rate (32,129 RMB/Person-Month / 180 hours); the 10% benchmark discount rate follows the GB standard recommendation for software projects; and the tax rates reflect current PRC regulations. Project-specific data (workload, task count, function points) are extracted directly from the project's engineering records and cross-validated through dual-track analysis (NESMA vs. WBS backward tracking, variance = 5.20%).</w:t>
      </w:r>
    </w:p>
    <w:p>
      <w:pPr>
        <w:pStyle w:val="Heading1"/>
      </w:pPr>
      <w:r>
        <w:rPr>
          <w:rFonts w:ascii="Times New Roman" w:hAnsi="Times New Roman" w:eastAsia="黑体"/>
        </w:rPr>
        <w:t>III. Business Model and Pricing Strategy</w:t>
      </w:r>
    </w:p>
    <w:p>
      <w:r>
        <w:rPr>
          <w:rFonts w:ascii="Times New Roman" w:hAnsi="Times New Roman" w:eastAsia="宋体"/>
          <w:b w:val="0"/>
          <w:sz w:val="24"/>
        </w:rPr>
        <w:t>This project adopts a tiered business model: "Free Trial → Personal Companion Subscription → Deep Companion Subscription → Family/Group Edition → Customized Commemorative Archive Service." This design is adopted because the value of a digital companion persona can only be demonstrated through sustained use. The free trial edition lowers the adoption barrier; the personal and deep companion editions generate stable subscription income; the family/group edition and customized archive service address stronger needs for memory preservation and sharing.</w:t>
      </w:r>
    </w:p>
    <w:p>
      <w:r>
        <w:rPr>
          <w:rFonts w:ascii="Times New Roman" w:hAnsi="Times New Roman" w:eastAsia="宋体"/>
          <w:b w:val="0"/>
          <w:sz w:val="24"/>
        </w:rPr>
        <w:t>The pricing strategy combines value-based pricing with cost constraints. The Personal Companion Edition is priced accessibly to facilitate conversion. The Deep Companion Edition reflects higher value through expanded memory capacity and model invocation quota. The Family/Group Edition targets multi-user sharing scenarios with a higher average transaction value. The Customized Commemorative Archive Service is quoted based on data organization volume, deployment complexity, and service duration.</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1984"/>
            <w:shd w:fill="D9E2F3" w:val="clear"/>
          </w:tcPr>
          <w:p>
            <w:pPr>
              <w:jc w:val="center"/>
            </w:pPr>
            <w:r/>
            <w:r>
              <w:rPr>
                <w:rFonts w:ascii="Times New Roman" w:hAnsi="Times New Roman" w:eastAsia="宋体"/>
                <w:b/>
                <w:sz w:val="20"/>
              </w:rPr>
              <w:t>Product Version</w:t>
            </w:r>
          </w:p>
        </w:tc>
        <w:tc>
          <w:tcPr>
            <w:tcW w:type="dxa" w:w="1984"/>
            <w:shd w:fill="D9E2F3" w:val="clear"/>
          </w:tcPr>
          <w:p>
            <w:pPr>
              <w:jc w:val="center"/>
            </w:pPr>
            <w:r/>
            <w:r>
              <w:rPr>
                <w:rFonts w:ascii="Times New Roman" w:hAnsi="Times New Roman" w:eastAsia="宋体"/>
                <w:b/>
                <w:sz w:val="20"/>
              </w:rPr>
              <w:t>Target Users</w:t>
            </w:r>
          </w:p>
        </w:tc>
        <w:tc>
          <w:tcPr>
            <w:tcW w:type="dxa" w:w="2835"/>
            <w:shd w:fill="D9E2F3" w:val="clear"/>
          </w:tcPr>
          <w:p>
            <w:pPr>
              <w:jc w:val="center"/>
            </w:pPr>
            <w:r/>
            <w:r>
              <w:rPr>
                <w:rFonts w:ascii="Times New Roman" w:hAnsi="Times New Roman" w:eastAsia="宋体"/>
                <w:b/>
                <w:sz w:val="20"/>
              </w:rPr>
              <w:t>Core Rights</w:t>
            </w:r>
          </w:p>
        </w:tc>
        <w:tc>
          <w:tcPr>
            <w:tcW w:type="dxa" w:w="2268"/>
            <w:shd w:fill="D9E2F3" w:val="clear"/>
          </w:tcPr>
          <w:p>
            <w:pPr>
              <w:jc w:val="center"/>
            </w:pPr>
            <w:r/>
            <w:r>
              <w:rPr>
                <w:rFonts w:ascii="Times New Roman" w:hAnsi="Times New Roman" w:eastAsia="宋体"/>
                <w:b/>
                <w:sz w:val="20"/>
              </w:rPr>
              <w:t>Pricing (Monthly)</w:t>
            </w:r>
          </w:p>
        </w:tc>
      </w:tr>
      <w:tr>
        <w:tc>
          <w:tcPr>
            <w:tcW w:type="dxa" w:w="1984"/>
          </w:tcPr>
          <w:p>
            <w:pPr>
              <w:jc w:val="left"/>
            </w:pPr>
            <w:r/>
            <w:r>
              <w:rPr>
                <w:rFonts w:ascii="Times New Roman" w:hAnsi="Times New Roman" w:eastAsia="宋体"/>
                <w:b w:val="0"/>
                <w:sz w:val="20"/>
              </w:rPr>
              <w:t>Free Trial</w:t>
            </w:r>
          </w:p>
        </w:tc>
        <w:tc>
          <w:tcPr>
            <w:tcW w:type="dxa" w:w="1984"/>
          </w:tcPr>
          <w:p>
            <w:pPr>
              <w:jc w:val="center"/>
            </w:pPr>
            <w:r/>
            <w:r>
              <w:rPr>
                <w:rFonts w:ascii="Times New Roman" w:hAnsi="Times New Roman" w:eastAsia="宋体"/>
                <w:b w:val="0"/>
                <w:sz w:val="20"/>
              </w:rPr>
              <w:t>First-time / demo users</w:t>
            </w:r>
          </w:p>
        </w:tc>
        <w:tc>
          <w:tcPr>
            <w:tcW w:type="dxa" w:w="2835"/>
          </w:tcPr>
          <w:p>
            <w:pPr>
              <w:jc w:val="center"/>
            </w:pPr>
            <w:r/>
            <w:r>
              <w:rPr>
                <w:rFonts w:ascii="Times New Roman" w:hAnsi="Times New Roman" w:eastAsia="宋体"/>
                <w:b w:val="0"/>
                <w:sz w:val="20"/>
              </w:rPr>
              <w:t>1 persona, limited memory, basic dialogue</w:t>
            </w:r>
          </w:p>
        </w:tc>
        <w:tc>
          <w:tcPr>
            <w:tcW w:type="dxa" w:w="2268"/>
          </w:tcPr>
          <w:p>
            <w:pPr>
              <w:jc w:val="center"/>
            </w:pPr>
            <w:r/>
            <w:r>
              <w:rPr>
                <w:rFonts w:ascii="Times New Roman" w:hAnsi="Times New Roman" w:eastAsia="宋体"/>
                <w:b w:val="0"/>
                <w:sz w:val="20"/>
              </w:rPr>
              <w:t>RMB 0</w:t>
            </w:r>
          </w:p>
        </w:tc>
      </w:tr>
      <w:tr>
        <w:tc>
          <w:tcPr>
            <w:tcW w:type="dxa" w:w="1984"/>
          </w:tcPr>
          <w:p>
            <w:pPr>
              <w:jc w:val="left"/>
            </w:pPr>
            <w:r/>
            <w:r>
              <w:rPr>
                <w:rFonts w:ascii="Times New Roman" w:hAnsi="Times New Roman" w:eastAsia="宋体"/>
                <w:b w:val="0"/>
                <w:sz w:val="20"/>
              </w:rPr>
              <w:t>Personal Companion</w:t>
            </w:r>
          </w:p>
        </w:tc>
        <w:tc>
          <w:tcPr>
            <w:tcW w:type="dxa" w:w="1984"/>
          </w:tcPr>
          <w:p>
            <w:pPr>
              <w:jc w:val="center"/>
            </w:pPr>
            <w:r/>
            <w:r>
              <w:rPr>
                <w:rFonts w:ascii="Times New Roman" w:hAnsi="Times New Roman" w:eastAsia="宋体"/>
                <w:b w:val="0"/>
                <w:sz w:val="20"/>
              </w:rPr>
              <w:t>Individual memory preservation</w:t>
            </w:r>
          </w:p>
        </w:tc>
        <w:tc>
          <w:tcPr>
            <w:tcW w:type="dxa" w:w="2835"/>
          </w:tcPr>
          <w:p>
            <w:pPr>
              <w:jc w:val="center"/>
            </w:pPr>
            <w:r/>
            <w:r>
              <w:rPr>
                <w:rFonts w:ascii="Times New Roman" w:hAnsi="Times New Roman" w:eastAsia="宋体"/>
                <w:b w:val="0"/>
                <w:sz w:val="20"/>
              </w:rPr>
              <w:t>1-3 personas, long-term memory, standard quota</w:t>
            </w:r>
          </w:p>
        </w:tc>
        <w:tc>
          <w:tcPr>
            <w:tcW w:type="dxa" w:w="2268"/>
          </w:tcPr>
          <w:p>
            <w:pPr>
              <w:jc w:val="center"/>
            </w:pPr>
            <w:r/>
            <w:r>
              <w:rPr>
                <w:rFonts w:ascii="Times New Roman" w:hAnsi="Times New Roman" w:eastAsia="宋体"/>
                <w:b w:val="0"/>
                <w:sz w:val="20"/>
              </w:rPr>
              <w:t>RMB 19.9</w:t>
            </w:r>
          </w:p>
        </w:tc>
      </w:tr>
      <w:tr>
        <w:tc>
          <w:tcPr>
            <w:tcW w:type="dxa" w:w="1984"/>
          </w:tcPr>
          <w:p>
            <w:pPr>
              <w:jc w:val="left"/>
            </w:pPr>
            <w:r/>
            <w:r>
              <w:rPr>
                <w:rFonts w:ascii="Times New Roman" w:hAnsi="Times New Roman" w:eastAsia="宋体"/>
                <w:b w:val="0"/>
                <w:sz w:val="20"/>
              </w:rPr>
              <w:t>Deep Companion</w:t>
            </w:r>
          </w:p>
        </w:tc>
        <w:tc>
          <w:tcPr>
            <w:tcW w:type="dxa" w:w="1984"/>
          </w:tcPr>
          <w:p>
            <w:pPr>
              <w:jc w:val="center"/>
            </w:pPr>
            <w:r/>
            <w:r>
              <w:rPr>
                <w:rFonts w:ascii="Times New Roman" w:hAnsi="Times New Roman" w:eastAsia="宋体"/>
                <w:b w:val="0"/>
                <w:sz w:val="20"/>
              </w:rPr>
              <w:t>Heavy users / knowledge workers</w:t>
            </w:r>
          </w:p>
        </w:tc>
        <w:tc>
          <w:tcPr>
            <w:tcW w:type="dxa" w:w="2835"/>
          </w:tcPr>
          <w:p>
            <w:pPr>
              <w:jc w:val="center"/>
            </w:pPr>
            <w:r/>
            <w:r>
              <w:rPr>
                <w:rFonts w:ascii="Times New Roman" w:hAnsi="Times New Roman" w:eastAsia="宋体"/>
                <w:b w:val="0"/>
                <w:sz w:val="20"/>
              </w:rPr>
              <w:t>More personas, higher quota, priority responses</w:t>
            </w:r>
          </w:p>
        </w:tc>
        <w:tc>
          <w:tcPr>
            <w:tcW w:type="dxa" w:w="2268"/>
          </w:tcPr>
          <w:p>
            <w:pPr>
              <w:jc w:val="center"/>
            </w:pPr>
            <w:r/>
            <w:r>
              <w:rPr>
                <w:rFonts w:ascii="Times New Roman" w:hAnsi="Times New Roman" w:eastAsia="宋体"/>
                <w:b w:val="0"/>
                <w:sz w:val="20"/>
              </w:rPr>
              <w:t>RMB 49.9</w:t>
            </w:r>
          </w:p>
        </w:tc>
      </w:tr>
      <w:tr>
        <w:tc>
          <w:tcPr>
            <w:tcW w:type="dxa" w:w="1984"/>
          </w:tcPr>
          <w:p>
            <w:pPr>
              <w:jc w:val="left"/>
            </w:pPr>
            <w:r/>
            <w:r>
              <w:rPr>
                <w:rFonts w:ascii="Times New Roman" w:hAnsi="Times New Roman" w:eastAsia="宋体"/>
                <w:b w:val="0"/>
                <w:sz w:val="20"/>
              </w:rPr>
              <w:t>Family/Group Edition</w:t>
            </w:r>
          </w:p>
        </w:tc>
        <w:tc>
          <w:tcPr>
            <w:tcW w:type="dxa" w:w="1984"/>
          </w:tcPr>
          <w:p>
            <w:pPr>
              <w:jc w:val="center"/>
            </w:pPr>
            <w:r/>
            <w:r>
              <w:rPr>
                <w:rFonts w:ascii="Times New Roman" w:hAnsi="Times New Roman" w:eastAsia="宋体"/>
                <w:b w:val="0"/>
                <w:sz w:val="20"/>
              </w:rPr>
              <w:t>Families, project teams</w:t>
            </w:r>
          </w:p>
        </w:tc>
        <w:tc>
          <w:tcPr>
            <w:tcW w:type="dxa" w:w="2835"/>
          </w:tcPr>
          <w:p>
            <w:pPr>
              <w:jc w:val="center"/>
            </w:pPr>
            <w:r/>
            <w:r>
              <w:rPr>
                <w:rFonts w:ascii="Times New Roman" w:hAnsi="Times New Roman" w:eastAsia="宋体"/>
                <w:b w:val="0"/>
                <w:sz w:val="20"/>
              </w:rPr>
              <w:t>Shared memory space, multi-user permissions</w:t>
            </w:r>
          </w:p>
        </w:tc>
        <w:tc>
          <w:tcPr>
            <w:tcW w:type="dxa" w:w="2268"/>
          </w:tcPr>
          <w:p>
            <w:pPr>
              <w:jc w:val="center"/>
            </w:pPr>
            <w:r/>
            <w:r>
              <w:rPr>
                <w:rFonts w:ascii="Times New Roman" w:hAnsi="Times New Roman" w:eastAsia="宋体"/>
                <w:b w:val="0"/>
                <w:sz w:val="20"/>
              </w:rPr>
              <w:t>From RMB 199</w:t>
            </w:r>
          </w:p>
        </w:tc>
      </w:tr>
      <w:tr>
        <w:tc>
          <w:tcPr>
            <w:tcW w:type="dxa" w:w="1984"/>
          </w:tcPr>
          <w:p>
            <w:pPr>
              <w:jc w:val="left"/>
            </w:pPr>
            <w:r/>
            <w:r>
              <w:rPr>
                <w:rFonts w:ascii="Times New Roman" w:hAnsi="Times New Roman" w:eastAsia="宋体"/>
                <w:b w:val="0"/>
                <w:sz w:val="20"/>
              </w:rPr>
              <w:t>Customized Archive</w:t>
            </w:r>
          </w:p>
        </w:tc>
        <w:tc>
          <w:tcPr>
            <w:tcW w:type="dxa" w:w="1984"/>
          </w:tcPr>
          <w:p>
            <w:pPr>
              <w:jc w:val="center"/>
            </w:pPr>
            <w:r/>
            <w:r>
              <w:rPr>
                <w:rFonts w:ascii="Times New Roman" w:hAnsi="Times New Roman" w:eastAsia="宋体"/>
                <w:b w:val="0"/>
                <w:sz w:val="20"/>
              </w:rPr>
              <w:t>Memorial / graduation needs</w:t>
            </w:r>
          </w:p>
        </w:tc>
        <w:tc>
          <w:tcPr>
            <w:tcW w:type="dxa" w:w="2835"/>
          </w:tcPr>
          <w:p>
            <w:pPr>
              <w:jc w:val="center"/>
            </w:pPr>
            <w:r/>
            <w:r>
              <w:rPr>
                <w:rFonts w:ascii="Times New Roman" w:hAnsi="Times New Roman" w:eastAsia="宋体"/>
                <w:b w:val="0"/>
                <w:sz w:val="20"/>
              </w:rPr>
              <w:t>Data organization, private deployment, custom output</w:t>
            </w:r>
          </w:p>
        </w:tc>
        <w:tc>
          <w:tcPr>
            <w:tcW w:type="dxa" w:w="2268"/>
          </w:tcPr>
          <w:p>
            <w:pPr>
              <w:jc w:val="center"/>
            </w:pPr>
            <w:r/>
            <w:r>
              <w:rPr>
                <w:rFonts w:ascii="Times New Roman" w:hAnsi="Times New Roman" w:eastAsia="宋体"/>
                <w:b w:val="0"/>
                <w:sz w:val="20"/>
              </w:rPr>
              <w:t>From RMB 3,000/project</w:t>
            </w:r>
          </w:p>
        </w:tc>
      </w:tr>
    </w:tbl>
    <w:p/>
    <w:p>
      <w:pPr>
        <w:pStyle w:val="Heading1"/>
      </w:pPr>
      <w:r>
        <w:rPr>
          <w:rFonts w:ascii="Times New Roman" w:hAnsi="Times New Roman" w:eastAsia="黑体"/>
        </w:rPr>
        <w:t>IV. Economic Evaluation Model and Key Assumptions</w:t>
      </w:r>
    </w:p>
    <w:p>
      <w:r>
        <w:rPr>
          <w:rFonts w:ascii="Times New Roman" w:hAnsi="Times New Roman" w:eastAsia="宋体"/>
          <w:b w:val="0"/>
          <w:sz w:val="24"/>
        </w:rPr>
        <w:t>For the purpose of course experiment calculation, this report adopts a five-year project life cycle. The construction period is treated as Year 0, and the operation period spans Year 1 through Year 5. All monetary amounts are expressed in RMB 10,000 (ten thousand yuan) unless otherwise noted. This report does not incorporate debt financing or equity financing plans, but analyzes the investment, operating revenue, cost, and cash flow of the project itself (pre-financing analysis).</w:t>
      </w:r>
    </w:p>
    <w:p>
      <w:r>
        <w:rPr>
          <w:rFonts w:ascii="Times New Roman" w:hAnsi="Times New Roman" w:eastAsia="宋体"/>
          <w:b w:val="0"/>
          <w:sz w:val="24"/>
        </w:rPr>
        <w:t>Note: The actual cash expenditure of a course project may be lower than that of a fully commercialized project. However, economic evaluation must account for opportunity cost. Therefore, this report converts student development time, testing documentation, deployment configuration, and project management effort into commercialized cost equivalents, so as to produce an evaluation result closer to real-world software project decision-making.</w:t>
      </w:r>
    </w:p>
    <w:tbl>
      <w:tblPr>
        <w:tblStyle w:val="TableGrid"/>
        <w:tblW w:type="auto" w:w="0"/>
        <w:jc w:val="center"/>
        <w:tblLook w:firstColumn="1" w:firstRow="1" w:lastColumn="0" w:lastRow="0" w:noHBand="0" w:noVBand="1" w:val="04A0"/>
      </w:tblPr>
      <w:tblGrid>
        <w:gridCol w:w="2878"/>
        <w:gridCol w:w="2878"/>
        <w:gridCol w:w="2878"/>
      </w:tblGrid>
      <w:tr>
        <w:tc>
          <w:tcPr>
            <w:tcW w:type="dxa" w:w="2835"/>
            <w:shd w:fill="D9E2F3" w:val="clear"/>
          </w:tcPr>
          <w:p>
            <w:pPr>
              <w:jc w:val="center"/>
            </w:pPr>
            <w:r/>
            <w:r>
              <w:rPr>
                <w:rFonts w:ascii="Times New Roman" w:hAnsi="Times New Roman" w:eastAsia="宋体"/>
                <w:b/>
                <w:sz w:val="20"/>
              </w:rPr>
              <w:t>Parameter</w:t>
            </w:r>
          </w:p>
        </w:tc>
        <w:tc>
          <w:tcPr>
            <w:tcW w:type="dxa" w:w="2268"/>
            <w:shd w:fill="D9E2F3" w:val="clear"/>
          </w:tcPr>
          <w:p>
            <w:pPr>
              <w:jc w:val="center"/>
            </w:pPr>
            <w:r/>
            <w:r>
              <w:rPr>
                <w:rFonts w:ascii="Times New Roman" w:hAnsi="Times New Roman" w:eastAsia="宋体"/>
                <w:b/>
                <w:sz w:val="20"/>
              </w:rPr>
              <w:t>Value</w:t>
            </w:r>
          </w:p>
        </w:tc>
        <w:tc>
          <w:tcPr>
            <w:tcW w:type="dxa" w:w="3969"/>
            <w:shd w:fill="D9E2F3" w:val="clear"/>
          </w:tcPr>
          <w:p>
            <w:pPr>
              <w:jc w:val="center"/>
            </w:pPr>
            <w:r/>
            <w:r>
              <w:rPr>
                <w:rFonts w:ascii="Times New Roman" w:hAnsi="Times New Roman" w:eastAsia="宋体"/>
                <w:b/>
                <w:sz w:val="20"/>
              </w:rPr>
              <w:t>Description</w:t>
            </w:r>
          </w:p>
        </w:tc>
      </w:tr>
      <w:tr>
        <w:tc>
          <w:tcPr>
            <w:tcW w:type="dxa" w:w="2835"/>
          </w:tcPr>
          <w:p>
            <w:pPr>
              <w:jc w:val="left"/>
            </w:pPr>
            <w:r/>
            <w:r>
              <w:rPr>
                <w:rFonts w:ascii="Times New Roman" w:hAnsi="Times New Roman" w:eastAsia="宋体"/>
                <w:b w:val="0"/>
                <w:sz w:val="20"/>
              </w:rPr>
              <w:t>Calculation Period</w:t>
            </w:r>
          </w:p>
        </w:tc>
        <w:tc>
          <w:tcPr>
            <w:tcW w:type="dxa" w:w="2268"/>
          </w:tcPr>
          <w:p>
            <w:pPr>
              <w:jc w:val="center"/>
            </w:pPr>
            <w:r/>
            <w:r>
              <w:rPr>
                <w:rFonts w:ascii="Times New Roman" w:hAnsi="Times New Roman" w:eastAsia="宋体"/>
                <w:b w:val="0"/>
                <w:sz w:val="20"/>
              </w:rPr>
              <w:t>5 years</w:t>
            </w:r>
          </w:p>
        </w:tc>
        <w:tc>
          <w:tcPr>
            <w:tcW w:type="dxa" w:w="3969"/>
          </w:tcPr>
          <w:p>
            <w:pPr>
              <w:jc w:val="center"/>
            </w:pPr>
            <w:r/>
            <w:r>
              <w:rPr>
                <w:rFonts w:ascii="Times New Roman" w:hAnsi="Times New Roman" w:eastAsia="宋体"/>
                <w:b w:val="0"/>
                <w:sz w:val="20"/>
              </w:rPr>
              <w:t>Operation cycle after MVP delivery</w:t>
            </w:r>
          </w:p>
        </w:tc>
      </w:tr>
      <w:tr>
        <w:tc>
          <w:tcPr>
            <w:tcW w:type="dxa" w:w="2835"/>
          </w:tcPr>
          <w:p>
            <w:pPr>
              <w:jc w:val="left"/>
            </w:pPr>
            <w:r/>
            <w:r>
              <w:rPr>
                <w:rFonts w:ascii="Times New Roman" w:hAnsi="Times New Roman" w:eastAsia="宋体"/>
                <w:b w:val="0"/>
                <w:sz w:val="20"/>
              </w:rPr>
              <w:t>Benchmark Discount Rate (i₀)</w:t>
            </w:r>
          </w:p>
        </w:tc>
        <w:tc>
          <w:tcPr>
            <w:tcW w:type="dxa" w:w="2268"/>
          </w:tcPr>
          <w:p>
            <w:pPr>
              <w:jc w:val="center"/>
            </w:pPr>
            <w:r/>
            <w:r>
              <w:rPr>
                <w:rFonts w:ascii="Times New Roman" w:hAnsi="Times New Roman" w:eastAsia="宋体"/>
                <w:b w:val="0"/>
                <w:sz w:val="20"/>
              </w:rPr>
              <w:t>10%</w:t>
            </w:r>
          </w:p>
        </w:tc>
        <w:tc>
          <w:tcPr>
            <w:tcW w:type="dxa" w:w="3969"/>
          </w:tcPr>
          <w:p>
            <w:pPr>
              <w:jc w:val="center"/>
            </w:pPr>
            <w:r/>
            <w:r>
              <w:rPr>
                <w:rFonts w:ascii="Times New Roman" w:hAnsi="Times New Roman" w:eastAsia="宋体"/>
                <w:b w:val="0"/>
                <w:sz w:val="20"/>
              </w:rPr>
              <w:t>Based on software industry average cost of capital</w:t>
            </w:r>
          </w:p>
        </w:tc>
      </w:tr>
      <w:tr>
        <w:tc>
          <w:tcPr>
            <w:tcW w:type="dxa" w:w="2835"/>
          </w:tcPr>
          <w:p>
            <w:pPr>
              <w:jc w:val="left"/>
            </w:pPr>
            <w:r/>
            <w:r>
              <w:rPr>
                <w:rFonts w:ascii="Times New Roman" w:hAnsi="Times New Roman" w:eastAsia="宋体"/>
                <w:b w:val="0"/>
                <w:sz w:val="20"/>
              </w:rPr>
              <w:t>VAT Rate</w:t>
            </w:r>
          </w:p>
        </w:tc>
        <w:tc>
          <w:tcPr>
            <w:tcW w:type="dxa" w:w="2268"/>
          </w:tcPr>
          <w:p>
            <w:pPr>
              <w:jc w:val="center"/>
            </w:pPr>
            <w:r/>
            <w:r>
              <w:rPr>
                <w:rFonts w:ascii="Times New Roman" w:hAnsi="Times New Roman" w:eastAsia="宋体"/>
                <w:b w:val="0"/>
                <w:sz w:val="20"/>
              </w:rPr>
              <w:t>6%</w:t>
            </w:r>
          </w:p>
        </w:tc>
        <w:tc>
          <w:tcPr>
            <w:tcW w:type="dxa" w:w="3969"/>
          </w:tcPr>
          <w:p>
            <w:pPr>
              <w:jc w:val="center"/>
            </w:pPr>
            <w:r/>
            <w:r>
              <w:rPr>
                <w:rFonts w:ascii="Times New Roman" w:hAnsi="Times New Roman" w:eastAsia="宋体"/>
                <w:b w:val="0"/>
                <w:sz w:val="20"/>
              </w:rPr>
              <w:t>Applicable to software services (general taxpayer)</w:t>
            </w:r>
          </w:p>
        </w:tc>
      </w:tr>
      <w:tr>
        <w:tc>
          <w:tcPr>
            <w:tcW w:type="dxa" w:w="2835"/>
          </w:tcPr>
          <w:p>
            <w:pPr>
              <w:jc w:val="left"/>
            </w:pPr>
            <w:r/>
            <w:r>
              <w:rPr>
                <w:rFonts w:ascii="Times New Roman" w:hAnsi="Times New Roman" w:eastAsia="宋体"/>
                <w:b w:val="0"/>
                <w:sz w:val="20"/>
              </w:rPr>
              <w:t>Surcharges</w:t>
            </w:r>
          </w:p>
        </w:tc>
        <w:tc>
          <w:tcPr>
            <w:tcW w:type="dxa" w:w="2268"/>
          </w:tcPr>
          <w:p>
            <w:pPr>
              <w:jc w:val="center"/>
            </w:pPr>
            <w:r/>
            <w:r>
              <w:rPr>
                <w:rFonts w:ascii="Times New Roman" w:hAnsi="Times New Roman" w:eastAsia="宋体"/>
                <w:b w:val="0"/>
                <w:sz w:val="20"/>
              </w:rPr>
              <w:t>12% of VAT</w:t>
            </w:r>
          </w:p>
        </w:tc>
        <w:tc>
          <w:tcPr>
            <w:tcW w:type="dxa" w:w="3969"/>
          </w:tcPr>
          <w:p>
            <w:pPr>
              <w:jc w:val="center"/>
            </w:pPr>
            <w:r/>
            <w:r>
              <w:rPr>
                <w:rFonts w:ascii="Times New Roman" w:hAnsi="Times New Roman" w:eastAsia="宋体"/>
                <w:b w:val="0"/>
                <w:sz w:val="20"/>
              </w:rPr>
              <w:t>Urban maintenance &amp; construction tax + education surcharge + local education surcharge</w:t>
            </w:r>
          </w:p>
        </w:tc>
      </w:tr>
      <w:tr>
        <w:tc>
          <w:tcPr>
            <w:tcW w:type="dxa" w:w="2835"/>
          </w:tcPr>
          <w:p>
            <w:pPr>
              <w:jc w:val="left"/>
            </w:pPr>
            <w:r/>
            <w:r>
              <w:rPr>
                <w:rFonts w:ascii="Times New Roman" w:hAnsi="Times New Roman" w:eastAsia="宋体"/>
                <w:b w:val="0"/>
                <w:sz w:val="20"/>
              </w:rPr>
              <w:t>Corporate Income Tax Rate</w:t>
            </w:r>
          </w:p>
        </w:tc>
        <w:tc>
          <w:tcPr>
            <w:tcW w:type="dxa" w:w="2268"/>
          </w:tcPr>
          <w:p>
            <w:pPr>
              <w:jc w:val="center"/>
            </w:pPr>
            <w:r/>
            <w:r>
              <w:rPr>
                <w:rFonts w:ascii="Times New Roman" w:hAnsi="Times New Roman" w:eastAsia="宋体"/>
                <w:b w:val="0"/>
                <w:sz w:val="20"/>
              </w:rPr>
              <w:t>25%</w:t>
            </w:r>
          </w:p>
        </w:tc>
        <w:tc>
          <w:tcPr>
            <w:tcW w:type="dxa" w:w="3969"/>
          </w:tcPr>
          <w:p>
            <w:pPr>
              <w:jc w:val="center"/>
            </w:pPr>
            <w:r/>
            <w:r>
              <w:rPr>
                <w:rFonts w:ascii="Times New Roman" w:hAnsi="Times New Roman" w:eastAsia="宋体"/>
                <w:b w:val="0"/>
                <w:sz w:val="20"/>
              </w:rPr>
              <w:t>Standard PRC corporate income tax rate</w:t>
            </w:r>
          </w:p>
        </w:tc>
      </w:tr>
      <w:tr>
        <w:tc>
          <w:tcPr>
            <w:tcW w:type="dxa" w:w="2835"/>
          </w:tcPr>
          <w:p>
            <w:pPr>
              <w:jc w:val="left"/>
            </w:pPr>
            <w:r/>
            <w:r>
              <w:rPr>
                <w:rFonts w:ascii="Times New Roman" w:hAnsi="Times New Roman" w:eastAsia="宋体"/>
                <w:b w:val="0"/>
                <w:sz w:val="20"/>
              </w:rPr>
              <w:t>Fixed Asset Depreciation</w:t>
            </w:r>
          </w:p>
        </w:tc>
        <w:tc>
          <w:tcPr>
            <w:tcW w:type="dxa" w:w="2268"/>
          </w:tcPr>
          <w:p>
            <w:pPr>
              <w:jc w:val="center"/>
            </w:pPr>
            <w:r/>
            <w:r>
              <w:rPr>
                <w:rFonts w:ascii="Times New Roman" w:hAnsi="Times New Roman" w:eastAsia="宋体"/>
                <w:b w:val="0"/>
                <w:sz w:val="20"/>
              </w:rPr>
              <w:t>5-year straight-line, 0 residual</w:t>
            </w:r>
          </w:p>
        </w:tc>
        <w:tc>
          <w:tcPr>
            <w:tcW w:type="dxa" w:w="3969"/>
          </w:tcPr>
          <w:p>
            <w:pPr>
              <w:jc w:val="center"/>
            </w:pPr>
            <w:r/>
            <w:r>
              <w:rPr>
                <w:rFonts w:ascii="Times New Roman" w:hAnsi="Times New Roman" w:eastAsia="宋体"/>
                <w:b w:val="0"/>
                <w:sz w:val="20"/>
              </w:rPr>
              <w:t>Servers, testing equipment, deployment infrastructure</w:t>
            </w:r>
          </w:p>
        </w:tc>
      </w:tr>
      <w:tr>
        <w:tc>
          <w:tcPr>
            <w:tcW w:type="dxa" w:w="2835"/>
          </w:tcPr>
          <w:p>
            <w:pPr>
              <w:jc w:val="left"/>
            </w:pPr>
            <w:r/>
            <w:r>
              <w:rPr>
                <w:rFonts w:ascii="Times New Roman" w:hAnsi="Times New Roman" w:eastAsia="宋体"/>
                <w:b w:val="0"/>
                <w:sz w:val="20"/>
              </w:rPr>
              <w:t>Intangible Asset Amortization</w:t>
            </w:r>
          </w:p>
        </w:tc>
        <w:tc>
          <w:tcPr>
            <w:tcW w:type="dxa" w:w="2268"/>
          </w:tcPr>
          <w:p>
            <w:pPr>
              <w:jc w:val="center"/>
            </w:pPr>
            <w:r/>
            <w:r>
              <w:rPr>
                <w:rFonts w:ascii="Times New Roman" w:hAnsi="Times New Roman" w:eastAsia="宋体"/>
                <w:b w:val="0"/>
                <w:sz w:val="20"/>
              </w:rPr>
              <w:t>5-year straight-line, 0 residual</w:t>
            </w:r>
          </w:p>
        </w:tc>
        <w:tc>
          <w:tcPr>
            <w:tcW w:type="dxa" w:w="3969"/>
          </w:tcPr>
          <w:p>
            <w:pPr>
              <w:jc w:val="center"/>
            </w:pPr>
            <w:r/>
            <w:r>
              <w:rPr>
                <w:rFonts w:ascii="Times New Roman" w:hAnsi="Times New Roman" w:eastAsia="宋体"/>
                <w:b w:val="0"/>
                <w:sz w:val="20"/>
              </w:rPr>
              <w:t>Capitalized software development costs (code, documentation, configurations)</w:t>
            </w:r>
          </w:p>
        </w:tc>
      </w:tr>
      <w:tr>
        <w:tc>
          <w:tcPr>
            <w:tcW w:type="dxa" w:w="2835"/>
          </w:tcPr>
          <w:p>
            <w:pPr>
              <w:jc w:val="left"/>
            </w:pPr>
            <w:r/>
            <w:r>
              <w:rPr>
                <w:rFonts w:ascii="Times New Roman" w:hAnsi="Times New Roman" w:eastAsia="宋体"/>
                <w:b w:val="0"/>
                <w:sz w:val="20"/>
              </w:rPr>
              <w:t>Residual Value</w:t>
            </w:r>
          </w:p>
        </w:tc>
        <w:tc>
          <w:tcPr>
            <w:tcW w:type="dxa" w:w="2268"/>
          </w:tcPr>
          <w:p>
            <w:pPr>
              <w:jc w:val="center"/>
            </w:pPr>
            <w:r/>
            <w:r>
              <w:rPr>
                <w:rFonts w:ascii="Times New Roman" w:hAnsi="Times New Roman" w:eastAsia="宋体"/>
                <w:b w:val="0"/>
                <w:sz w:val="20"/>
              </w:rPr>
              <w:t>0</w:t>
            </w:r>
          </w:p>
        </w:tc>
        <w:tc>
          <w:tcPr>
            <w:tcW w:type="dxa" w:w="3969"/>
          </w:tcPr>
          <w:p>
            <w:pPr>
              <w:jc w:val="center"/>
            </w:pPr>
            <w:r/>
            <w:r>
              <w:rPr>
                <w:rFonts w:ascii="Times New Roman" w:hAnsi="Times New Roman" w:eastAsia="宋体"/>
                <w:b w:val="0"/>
                <w:sz w:val="20"/>
              </w:rPr>
              <w:t>Conservative estimation; no separate salvage value assumed</w:t>
            </w:r>
          </w:p>
        </w:tc>
      </w:tr>
    </w:tbl>
    <w:p/>
    <w:p>
      <w:pPr>
        <w:pStyle w:val="Heading1"/>
      </w:pPr>
      <w:r>
        <w:rPr>
          <w:rFonts w:ascii="Times New Roman" w:hAnsi="Times New Roman" w:eastAsia="黑体"/>
        </w:rPr>
        <w:t>V. Project Size and Investment Estimation</w:t>
      </w:r>
    </w:p>
    <w:p>
      <w:pPr>
        <w:pStyle w:val="Heading2"/>
      </w:pPr>
      <w:r>
        <w:rPr>
          <w:rFonts w:ascii="Times New Roman" w:hAnsi="Times New Roman" w:eastAsia="黑体"/>
        </w:rPr>
        <w:t>5.1 Project Size Estimation</w:t>
      </w:r>
    </w:p>
    <w:p>
      <w:r>
        <w:rPr>
          <w:rFonts w:ascii="Times New Roman" w:hAnsi="Times New Roman" w:eastAsia="宋体"/>
          <w:b w:val="0"/>
          <w:sz w:val="24"/>
        </w:rPr>
        <w:t>According to the actual engineering records of the course project, HeartCompass has completed all 30 WBS tasks spanning requirements analysis, core function development, database and model configuration, Feishu bot integration, user documentation, and testing and validation. The project records an accumulated workload of 298 person-hours. Applying a commercialized blended labor rate of approximately RMB 120 per person-hour (aligned with junior-to-mid-level development and testing comprehensive cost in the Beijing software industry), the direct development labor cost is approximately RMB 35,800.</w:t>
      </w:r>
    </w:p>
    <w:p>
      <w:r>
        <w:rPr>
          <w:rFonts w:ascii="Times New Roman" w:hAnsi="Times New Roman" w:eastAsia="宋体"/>
          <w:b w:val="0"/>
          <w:sz w:val="24"/>
        </w:rPr>
        <w:t>Additionally, the project's functional size was measured using the NESMA function point analysis method at 54 FP (comprising 7 ILF + 10 ILF + 7 ILF + 5 ELF + 4 EI + 6 EI + 7 EO + 5 EO + 3 EQ). A WBS-driven backward tracking cross-check confirmed the cost estimate with a variance of only 5.20%, validating high internal consistency. Considering supplementary costs for requirements analysis, system design, testing, documentation, deployment, security review, and project management, this report estimates the total capitalized software development investment at RMB 65,000.</w:t>
      </w:r>
    </w:p>
    <w:tbl>
      <w:tblPr>
        <w:tblStyle w:val="TableGrid"/>
        <w:tblW w:type="auto" w:w="0"/>
        <w:jc w:val="center"/>
        <w:tblLook w:firstColumn="1" w:firstRow="1" w:lastColumn="0" w:lastRow="0" w:noHBand="0" w:noVBand="1" w:val="04A0"/>
      </w:tblPr>
      <w:tblGrid>
        <w:gridCol w:w="2878"/>
        <w:gridCol w:w="2878"/>
        <w:gridCol w:w="2878"/>
      </w:tblGrid>
      <w:tr>
        <w:tc>
          <w:tcPr>
            <w:tcW w:type="dxa" w:w="3118"/>
            <w:shd w:fill="D9E2F3" w:val="clear"/>
          </w:tcPr>
          <w:p>
            <w:pPr>
              <w:jc w:val="center"/>
            </w:pPr>
            <w:r/>
            <w:r>
              <w:rPr>
                <w:rFonts w:ascii="Times New Roman" w:hAnsi="Times New Roman" w:eastAsia="宋体"/>
                <w:b/>
                <w:sz w:val="20"/>
              </w:rPr>
              <w:t>Size / Workload Item</w:t>
            </w:r>
          </w:p>
        </w:tc>
        <w:tc>
          <w:tcPr>
            <w:tcW w:type="dxa" w:w="2268"/>
            <w:shd w:fill="D9E2F3" w:val="clear"/>
          </w:tcPr>
          <w:p>
            <w:pPr>
              <w:jc w:val="center"/>
            </w:pPr>
            <w:r/>
            <w:r>
              <w:rPr>
                <w:rFonts w:ascii="Times New Roman" w:hAnsi="Times New Roman" w:eastAsia="宋体"/>
                <w:b/>
                <w:sz w:val="20"/>
              </w:rPr>
              <w:t>Estimated Value</w:t>
            </w:r>
          </w:p>
        </w:tc>
        <w:tc>
          <w:tcPr>
            <w:tcW w:type="dxa" w:w="3685"/>
            <w:shd w:fill="D9E2F3" w:val="clear"/>
          </w:tcPr>
          <w:p>
            <w:pPr>
              <w:jc w:val="center"/>
            </w:pPr>
            <w:r/>
            <w:r>
              <w:rPr>
                <w:rFonts w:ascii="Times New Roman" w:hAnsi="Times New Roman" w:eastAsia="宋体"/>
                <w:b/>
                <w:sz w:val="20"/>
              </w:rPr>
              <w:t>Description</w:t>
            </w:r>
          </w:p>
        </w:tc>
      </w:tr>
      <w:tr>
        <w:tc>
          <w:tcPr>
            <w:tcW w:type="dxa" w:w="3118"/>
          </w:tcPr>
          <w:p>
            <w:pPr>
              <w:jc w:val="left"/>
            </w:pPr>
            <w:r/>
            <w:r>
              <w:rPr>
                <w:rFonts w:ascii="Times New Roman" w:hAnsi="Times New Roman" w:eastAsia="宋体"/>
                <w:b w:val="0"/>
                <w:sz w:val="20"/>
              </w:rPr>
              <w:t>WBS Tasks Completed</w:t>
            </w:r>
          </w:p>
        </w:tc>
        <w:tc>
          <w:tcPr>
            <w:tcW w:type="dxa" w:w="2268"/>
          </w:tcPr>
          <w:p>
            <w:pPr>
              <w:jc w:val="center"/>
            </w:pPr>
            <w:r/>
            <w:r>
              <w:rPr>
                <w:rFonts w:ascii="Times New Roman" w:hAnsi="Times New Roman" w:eastAsia="宋体"/>
                <w:b w:val="0"/>
                <w:sz w:val="20"/>
              </w:rPr>
              <w:t>30 tasks</w:t>
            </w:r>
          </w:p>
        </w:tc>
        <w:tc>
          <w:tcPr>
            <w:tcW w:type="dxa" w:w="3685"/>
          </w:tcPr>
          <w:p>
            <w:pPr>
              <w:jc w:val="center"/>
            </w:pPr>
            <w:r/>
            <w:r>
              <w:rPr>
                <w:rFonts w:ascii="Times New Roman" w:hAnsi="Times New Roman" w:eastAsia="宋体"/>
                <w:b w:val="0"/>
                <w:sz w:val="20"/>
              </w:rPr>
              <w:t>Full decomposition from requirements to deployment</w:t>
            </w:r>
          </w:p>
        </w:tc>
      </w:tr>
      <w:tr>
        <w:tc>
          <w:tcPr>
            <w:tcW w:type="dxa" w:w="3118"/>
          </w:tcPr>
          <w:p>
            <w:pPr>
              <w:jc w:val="left"/>
            </w:pPr>
            <w:r/>
            <w:r>
              <w:rPr>
                <w:rFonts w:ascii="Times New Roman" w:hAnsi="Times New Roman" w:eastAsia="宋体"/>
                <w:b w:val="0"/>
                <w:sz w:val="20"/>
              </w:rPr>
              <w:t>Accumulated Workload</w:t>
            </w:r>
          </w:p>
        </w:tc>
        <w:tc>
          <w:tcPr>
            <w:tcW w:type="dxa" w:w="2268"/>
          </w:tcPr>
          <w:p>
            <w:pPr>
              <w:jc w:val="center"/>
            </w:pPr>
            <w:r/>
            <w:r>
              <w:rPr>
                <w:rFonts w:ascii="Times New Roman" w:hAnsi="Times New Roman" w:eastAsia="宋体"/>
                <w:b w:val="0"/>
                <w:sz w:val="20"/>
              </w:rPr>
              <w:t>298 person-hours</w:t>
            </w:r>
          </w:p>
        </w:tc>
        <w:tc>
          <w:tcPr>
            <w:tcW w:type="dxa" w:w="3685"/>
          </w:tcPr>
          <w:p>
            <w:pPr>
              <w:jc w:val="center"/>
            </w:pPr>
            <w:r/>
            <w:r>
              <w:rPr>
                <w:rFonts w:ascii="Times New Roman" w:hAnsi="Times New Roman" w:eastAsia="宋体"/>
                <w:b w:val="0"/>
                <w:sz w:val="20"/>
              </w:rPr>
              <w:t>Requirements, development, debugging, documentation, testing, PM</w:t>
            </w:r>
          </w:p>
        </w:tc>
      </w:tr>
      <w:tr>
        <w:tc>
          <w:tcPr>
            <w:tcW w:type="dxa" w:w="3118"/>
          </w:tcPr>
          <w:p>
            <w:pPr>
              <w:jc w:val="left"/>
            </w:pPr>
            <w:r/>
            <w:r>
              <w:rPr>
                <w:rFonts w:ascii="Times New Roman" w:hAnsi="Times New Roman" w:eastAsia="宋体"/>
                <w:b w:val="0"/>
                <w:sz w:val="20"/>
              </w:rPr>
              <w:t>Blended Labor Unit Cost</w:t>
            </w:r>
          </w:p>
        </w:tc>
        <w:tc>
          <w:tcPr>
            <w:tcW w:type="dxa" w:w="2268"/>
          </w:tcPr>
          <w:p>
            <w:pPr>
              <w:jc w:val="center"/>
            </w:pPr>
            <w:r/>
            <w:r>
              <w:rPr>
                <w:rFonts w:ascii="Times New Roman" w:hAnsi="Times New Roman" w:eastAsia="宋体"/>
                <w:b w:val="0"/>
                <w:sz w:val="20"/>
              </w:rPr>
              <w:t>RMB 120 / hour</w:t>
            </w:r>
          </w:p>
        </w:tc>
        <w:tc>
          <w:tcPr>
            <w:tcW w:type="dxa" w:w="3685"/>
          </w:tcPr>
          <w:p>
            <w:pPr>
              <w:jc w:val="center"/>
            </w:pPr>
            <w:r/>
            <w:r>
              <w:rPr>
                <w:rFonts w:ascii="Times New Roman" w:hAnsi="Times New Roman" w:eastAsia="宋体"/>
                <w:b w:val="0"/>
                <w:sz w:val="20"/>
              </w:rPr>
              <w:t>Commercialized opportunity cost for junior-to-mid-level engineers</w:t>
            </w:r>
          </w:p>
        </w:tc>
      </w:tr>
      <w:tr>
        <w:tc>
          <w:tcPr>
            <w:tcW w:type="dxa" w:w="3118"/>
          </w:tcPr>
          <w:p>
            <w:pPr>
              <w:jc w:val="left"/>
            </w:pPr>
            <w:r/>
            <w:r>
              <w:rPr>
                <w:rFonts w:ascii="Times New Roman" w:hAnsi="Times New Roman" w:eastAsia="宋体"/>
                <w:b w:val="0"/>
                <w:sz w:val="20"/>
              </w:rPr>
              <w:t>Direct Development Labor Cost</w:t>
            </w:r>
          </w:p>
        </w:tc>
        <w:tc>
          <w:tcPr>
            <w:tcW w:type="dxa" w:w="2268"/>
          </w:tcPr>
          <w:p>
            <w:pPr>
              <w:jc w:val="center"/>
            </w:pPr>
            <w:r/>
            <w:r>
              <w:rPr>
                <w:rFonts w:ascii="Times New Roman" w:hAnsi="Times New Roman" w:eastAsia="宋体"/>
                <w:b w:val="0"/>
                <w:sz w:val="20"/>
              </w:rPr>
              <w:t>RMB 35,800</w:t>
            </w:r>
          </w:p>
        </w:tc>
        <w:tc>
          <w:tcPr>
            <w:tcW w:type="dxa" w:w="3685"/>
          </w:tcPr>
          <w:p>
            <w:pPr>
              <w:jc w:val="center"/>
            </w:pPr>
            <w:r/>
            <w:r>
              <w:rPr>
                <w:rFonts w:ascii="Times New Roman" w:hAnsi="Times New Roman" w:eastAsia="宋体"/>
                <w:b w:val="0"/>
                <w:sz w:val="20"/>
              </w:rPr>
              <w:t>298 hours × RMB 120 / hour</w:t>
            </w:r>
          </w:p>
        </w:tc>
      </w:tr>
      <w:tr>
        <w:tc>
          <w:tcPr>
            <w:tcW w:type="dxa" w:w="3118"/>
          </w:tcPr>
          <w:p>
            <w:pPr>
              <w:jc w:val="left"/>
            </w:pPr>
            <w:r/>
            <w:r>
              <w:rPr>
                <w:rFonts w:ascii="Times New Roman" w:hAnsi="Times New Roman" w:eastAsia="宋体"/>
                <w:b w:val="0"/>
                <w:sz w:val="20"/>
              </w:rPr>
              <w:t>Capitalized Software Development Investment</w:t>
            </w:r>
          </w:p>
        </w:tc>
        <w:tc>
          <w:tcPr>
            <w:tcW w:type="dxa" w:w="2268"/>
          </w:tcPr>
          <w:p>
            <w:pPr>
              <w:jc w:val="center"/>
            </w:pPr>
            <w:r/>
            <w:r>
              <w:rPr>
                <w:rFonts w:ascii="Times New Roman" w:hAnsi="Times New Roman" w:eastAsia="宋体"/>
                <w:b w:val="0"/>
                <w:sz w:val="20"/>
              </w:rPr>
              <w:t>RMB 65,000</w:t>
            </w:r>
          </w:p>
        </w:tc>
        <w:tc>
          <w:tcPr>
            <w:tcW w:type="dxa" w:w="3685"/>
          </w:tcPr>
          <w:p>
            <w:pPr>
              <w:jc w:val="center"/>
            </w:pPr>
            <w:r/>
            <w:r>
              <w:rPr>
                <w:rFonts w:ascii="Times New Roman" w:hAnsi="Times New Roman" w:eastAsia="宋体"/>
                <w:b w:val="0"/>
                <w:sz w:val="20"/>
              </w:rPr>
              <w:t>Includes supplementary costs for requirements, design, testing, deployment, security, and project management</w:t>
            </w:r>
          </w:p>
        </w:tc>
      </w:tr>
      <w:tr>
        <w:tc>
          <w:tcPr>
            <w:tcW w:type="dxa" w:w="3118"/>
          </w:tcPr>
          <w:p>
            <w:pPr>
              <w:jc w:val="left"/>
            </w:pPr>
            <w:r/>
            <w:r>
              <w:rPr>
                <w:rFonts w:ascii="Times New Roman" w:hAnsi="Times New Roman" w:eastAsia="宋体"/>
                <w:b w:val="0"/>
                <w:sz w:val="20"/>
              </w:rPr>
              <w:t>NESMA Functional Size</w:t>
            </w:r>
          </w:p>
        </w:tc>
        <w:tc>
          <w:tcPr>
            <w:tcW w:type="dxa" w:w="2268"/>
          </w:tcPr>
          <w:p>
            <w:pPr>
              <w:jc w:val="center"/>
            </w:pPr>
            <w:r/>
            <w:r>
              <w:rPr>
                <w:rFonts w:ascii="Times New Roman" w:hAnsi="Times New Roman" w:eastAsia="宋体"/>
                <w:b w:val="0"/>
                <w:sz w:val="20"/>
              </w:rPr>
              <w:t>54 FP</w:t>
            </w:r>
          </w:p>
        </w:tc>
        <w:tc>
          <w:tcPr>
            <w:tcW w:type="dxa" w:w="3685"/>
          </w:tcPr>
          <w:p>
            <w:pPr>
              <w:jc w:val="center"/>
            </w:pPr>
            <w:r/>
            <w:r>
              <w:rPr>
                <w:rFonts w:ascii="Times New Roman" w:hAnsi="Times New Roman" w:eastAsia="宋体"/>
                <w:b w:val="0"/>
                <w:sz w:val="20"/>
              </w:rPr>
              <w:t>Measured via NESMA FPA; cross-checked against WBS with 5.20% variance</w:t>
            </w:r>
          </w:p>
        </w:tc>
      </w:tr>
    </w:tbl>
    <w:p/>
    <w:p>
      <w:pPr>
        <w:pStyle w:val="Heading2"/>
      </w:pPr>
      <w:r>
        <w:rPr>
          <w:rFonts w:ascii="Times New Roman" w:hAnsi="Times New Roman" w:eastAsia="黑体"/>
        </w:rPr>
        <w:t>5.2 Investment Estimation Table</w:t>
      </w:r>
    </w:p>
    <w:tbl>
      <w:tblPr>
        <w:tblStyle w:val="TableGrid"/>
        <w:tblW w:type="auto" w:w="0"/>
        <w:jc w:val="center"/>
        <w:tblLook w:firstColumn="1" w:firstRow="1" w:lastColumn="0" w:lastRow="0" w:noHBand="0" w:noVBand="1" w:val="04A0"/>
      </w:tblPr>
      <w:tblGrid>
        <w:gridCol w:w="2878"/>
        <w:gridCol w:w="2878"/>
        <w:gridCol w:w="2878"/>
      </w:tblGrid>
      <w:tr>
        <w:tc>
          <w:tcPr>
            <w:tcW w:type="dxa" w:w="3402"/>
            <w:shd w:fill="D9E2F3" w:val="clear"/>
          </w:tcPr>
          <w:p>
            <w:pPr>
              <w:jc w:val="center"/>
            </w:pPr>
            <w:r/>
            <w:r>
              <w:rPr>
                <w:rFonts w:ascii="Times New Roman" w:hAnsi="Times New Roman" w:eastAsia="宋体"/>
                <w:b/>
                <w:sz w:val="20"/>
              </w:rPr>
              <w:t>Investment Item</w:t>
            </w:r>
          </w:p>
        </w:tc>
        <w:tc>
          <w:tcPr>
            <w:tcW w:type="dxa" w:w="1984"/>
            <w:shd w:fill="D9E2F3" w:val="clear"/>
          </w:tcPr>
          <w:p>
            <w:pPr>
              <w:jc w:val="center"/>
            </w:pPr>
            <w:r/>
            <w:r>
              <w:rPr>
                <w:rFonts w:ascii="Times New Roman" w:hAnsi="Times New Roman" w:eastAsia="宋体"/>
                <w:b/>
                <w:sz w:val="20"/>
              </w:rPr>
              <w:t>Amount (RMB 10,000)</w:t>
            </w:r>
          </w:p>
        </w:tc>
        <w:tc>
          <w:tcPr>
            <w:tcW w:type="dxa" w:w="3685"/>
            <w:shd w:fill="D9E2F3" w:val="clear"/>
          </w:tcPr>
          <w:p>
            <w:pPr>
              <w:jc w:val="center"/>
            </w:pPr>
            <w:r/>
            <w:r>
              <w:rPr>
                <w:rFonts w:ascii="Times New Roman" w:hAnsi="Times New Roman" w:eastAsia="宋体"/>
                <w:b/>
                <w:sz w:val="20"/>
              </w:rPr>
              <w:t>Estimation Basis</w:t>
            </w:r>
          </w:p>
        </w:tc>
      </w:tr>
      <w:tr>
        <w:tc>
          <w:tcPr>
            <w:tcW w:type="dxa" w:w="3402"/>
          </w:tcPr>
          <w:p>
            <w:pPr>
              <w:jc w:val="left"/>
            </w:pPr>
            <w:r/>
            <w:r>
              <w:rPr>
                <w:rFonts w:ascii="Times New Roman" w:hAnsi="Times New Roman" w:eastAsia="宋体"/>
                <w:b w:val="0"/>
                <w:sz w:val="20"/>
              </w:rPr>
              <w:t>Software Development (Intangible Asset)</w:t>
            </w:r>
          </w:p>
        </w:tc>
        <w:tc>
          <w:tcPr>
            <w:tcW w:type="dxa" w:w="1984"/>
          </w:tcPr>
          <w:p>
            <w:pPr>
              <w:jc w:val="center"/>
            </w:pPr>
            <w:r/>
            <w:r>
              <w:rPr>
                <w:rFonts w:ascii="Times New Roman" w:hAnsi="Times New Roman" w:eastAsia="宋体"/>
                <w:b w:val="0"/>
                <w:sz w:val="20"/>
              </w:rPr>
              <w:t>6.50</w:t>
            </w:r>
          </w:p>
        </w:tc>
        <w:tc>
          <w:tcPr>
            <w:tcW w:type="dxa" w:w="3685"/>
          </w:tcPr>
          <w:p>
            <w:pPr>
              <w:jc w:val="center"/>
            </w:pPr>
            <w:r/>
            <w:r>
              <w:rPr>
                <w:rFonts w:ascii="Times New Roman" w:hAnsi="Times New Roman" w:eastAsia="宋体"/>
                <w:b w:val="0"/>
                <w:sz w:val="20"/>
              </w:rPr>
              <w:t>Core code, persona profiles, conversation engine, deployment scripts</w:t>
            </w:r>
          </w:p>
        </w:tc>
      </w:tr>
      <w:tr>
        <w:tc>
          <w:tcPr>
            <w:tcW w:type="dxa" w:w="3402"/>
          </w:tcPr>
          <w:p>
            <w:pPr>
              <w:jc w:val="left"/>
            </w:pPr>
            <w:r/>
            <w:r>
              <w:rPr>
                <w:rFonts w:ascii="Times New Roman" w:hAnsi="Times New Roman" w:eastAsia="宋体"/>
                <w:b w:val="0"/>
                <w:sz w:val="20"/>
              </w:rPr>
              <w:t>Server / Testing Equipment / Deployment</w:t>
            </w:r>
          </w:p>
        </w:tc>
        <w:tc>
          <w:tcPr>
            <w:tcW w:type="dxa" w:w="1984"/>
          </w:tcPr>
          <w:p>
            <w:pPr>
              <w:jc w:val="center"/>
            </w:pPr>
            <w:r/>
            <w:r>
              <w:rPr>
                <w:rFonts w:ascii="Times New Roman" w:hAnsi="Times New Roman" w:eastAsia="宋体"/>
                <w:b w:val="0"/>
                <w:sz w:val="20"/>
              </w:rPr>
              <w:t>1.50</w:t>
            </w:r>
          </w:p>
        </w:tc>
        <w:tc>
          <w:tcPr>
            <w:tcW w:type="dxa" w:w="3685"/>
          </w:tcPr>
          <w:p>
            <w:pPr>
              <w:jc w:val="center"/>
            </w:pPr>
            <w:r/>
            <w:r>
              <w:rPr>
                <w:rFonts w:ascii="Times New Roman" w:hAnsi="Times New Roman" w:eastAsia="宋体"/>
                <w:b w:val="0"/>
                <w:sz w:val="20"/>
              </w:rPr>
              <w:t>Testing server, database, vector retrieval, container infrastructure</w:t>
            </w:r>
          </w:p>
        </w:tc>
      </w:tr>
      <w:tr>
        <w:tc>
          <w:tcPr>
            <w:tcW w:type="dxa" w:w="3402"/>
          </w:tcPr>
          <w:p>
            <w:pPr>
              <w:jc w:val="left"/>
            </w:pPr>
            <w:r/>
            <w:r>
              <w:rPr>
                <w:rFonts w:ascii="Times New Roman" w:hAnsi="Times New Roman" w:eastAsia="宋体"/>
                <w:b w:val="0"/>
                <w:sz w:val="20"/>
              </w:rPr>
              <w:t>Testing, Compliance, and Launch Preparation</w:t>
            </w:r>
          </w:p>
        </w:tc>
        <w:tc>
          <w:tcPr>
            <w:tcW w:type="dxa" w:w="1984"/>
          </w:tcPr>
          <w:p>
            <w:pPr>
              <w:jc w:val="center"/>
            </w:pPr>
            <w:r/>
            <w:r>
              <w:rPr>
                <w:rFonts w:ascii="Times New Roman" w:hAnsi="Times New Roman" w:eastAsia="宋体"/>
                <w:b w:val="0"/>
                <w:sz w:val="20"/>
              </w:rPr>
              <w:t>1.00</w:t>
            </w:r>
          </w:p>
        </w:tc>
        <w:tc>
          <w:tcPr>
            <w:tcW w:type="dxa" w:w="3685"/>
          </w:tcPr>
          <w:p>
            <w:pPr>
              <w:jc w:val="center"/>
            </w:pPr>
            <w:r/>
            <w:r>
              <w:rPr>
                <w:rFonts w:ascii="Times New Roman" w:hAnsi="Times New Roman" w:eastAsia="宋体"/>
                <w:b w:val="0"/>
                <w:sz w:val="20"/>
              </w:rPr>
              <w:t>Security audit, privacy notice, user manual, trial launch</w:t>
            </w:r>
          </w:p>
        </w:tc>
      </w:tr>
      <w:tr>
        <w:tc>
          <w:tcPr>
            <w:tcW w:type="dxa" w:w="3402"/>
          </w:tcPr>
          <w:p>
            <w:pPr>
              <w:jc w:val="left"/>
            </w:pPr>
            <w:r/>
            <w:r>
              <w:rPr>
                <w:rFonts w:ascii="Times New Roman" w:hAnsi="Times New Roman" w:eastAsia="宋体"/>
                <w:b w:val="0"/>
                <w:sz w:val="20"/>
              </w:rPr>
              <w:t>Initial Working Capital</w:t>
            </w:r>
          </w:p>
        </w:tc>
        <w:tc>
          <w:tcPr>
            <w:tcW w:type="dxa" w:w="1984"/>
          </w:tcPr>
          <w:p>
            <w:pPr>
              <w:jc w:val="center"/>
            </w:pPr>
            <w:r/>
            <w:r>
              <w:rPr>
                <w:rFonts w:ascii="Times New Roman" w:hAnsi="Times New Roman" w:eastAsia="宋体"/>
                <w:b w:val="0"/>
                <w:sz w:val="20"/>
              </w:rPr>
              <w:t>3.00</w:t>
            </w:r>
          </w:p>
        </w:tc>
        <w:tc>
          <w:tcPr>
            <w:tcW w:type="dxa" w:w="3685"/>
          </w:tcPr>
          <w:p>
            <w:pPr>
              <w:jc w:val="center"/>
            </w:pPr>
            <w:r/>
            <w:r>
              <w:rPr>
                <w:rFonts w:ascii="Times New Roman" w:hAnsi="Times New Roman" w:eastAsia="宋体"/>
                <w:b w:val="0"/>
                <w:sz w:val="20"/>
              </w:rPr>
              <w:t>Cloud resources, model API calls, and short-term operating turnover</w:t>
            </w:r>
          </w:p>
        </w:tc>
      </w:tr>
      <w:tr>
        <w:tc>
          <w:tcPr>
            <w:tcW w:type="dxa" w:w="3402"/>
          </w:tcPr>
          <w:p>
            <w:pPr>
              <w:jc w:val="left"/>
            </w:pPr>
            <w:r/>
            <w:r>
              <w:rPr>
                <w:rFonts w:ascii="Times New Roman" w:hAnsi="Times New Roman" w:eastAsia="宋体"/>
                <w:b w:val="0"/>
                <w:sz w:val="20"/>
              </w:rPr>
              <w:t>Total Project Investment</w:t>
            </w:r>
          </w:p>
        </w:tc>
        <w:tc>
          <w:tcPr>
            <w:tcW w:type="dxa" w:w="1984"/>
          </w:tcPr>
          <w:p>
            <w:pPr>
              <w:jc w:val="center"/>
            </w:pPr>
            <w:r/>
            <w:r>
              <w:rPr>
                <w:rFonts w:ascii="Times New Roman" w:hAnsi="Times New Roman" w:eastAsia="宋体"/>
                <w:b w:val="0"/>
                <w:sz w:val="20"/>
              </w:rPr>
              <w:t>12.00</w:t>
            </w:r>
          </w:p>
        </w:tc>
        <w:tc>
          <w:tcPr>
            <w:tcW w:type="dxa" w:w="3685"/>
          </w:tcPr>
          <w:p>
            <w:pPr>
              <w:jc w:val="center"/>
            </w:pPr>
            <w:r/>
            <w:r>
              <w:rPr>
                <w:rFonts w:ascii="Times New Roman" w:hAnsi="Times New Roman" w:eastAsia="宋体"/>
                <w:b w:val="0"/>
                <w:sz w:val="20"/>
              </w:rPr>
              <w:t>One-time investment during the construction period (Year 0)</w:t>
            </w:r>
          </w:p>
        </w:tc>
      </w:tr>
    </w:tbl>
    <w:p/>
    <w:p>
      <w:pPr>
        <w:pStyle w:val="Heading2"/>
      </w:pPr>
      <w:r>
        <w:rPr>
          <w:rFonts w:ascii="Times New Roman" w:hAnsi="Times New Roman" w:eastAsia="黑体"/>
        </w:rPr>
        <w:t>5.3 Working Capital Estimation Table</w:t>
      </w:r>
    </w:p>
    <w:tbl>
      <w:tblPr>
        <w:tblStyle w:val="TableGrid"/>
        <w:tblW w:type="auto" w:w="0"/>
        <w:jc w:val="center"/>
        <w:tblLook w:firstColumn="1" w:firstRow="1" w:lastColumn="0" w:lastRow="0" w:noHBand="0" w:noVBand="1" w:val="04A0"/>
      </w:tblPr>
      <w:tblGrid>
        <w:gridCol w:w="1233"/>
        <w:gridCol w:w="1233"/>
        <w:gridCol w:w="1233"/>
        <w:gridCol w:w="1233"/>
        <w:gridCol w:w="1233"/>
        <w:gridCol w:w="1233"/>
        <w:gridCol w:w="1233"/>
      </w:tblGrid>
      <w:tr>
        <w:tc>
          <w:tcPr>
            <w:tcW w:type="dxa" w:w="2268"/>
            <w:shd w:fill="D9E2F3" w:val="clear"/>
          </w:tcPr>
          <w:p>
            <w:pPr>
              <w:jc w:val="center"/>
            </w:pPr>
            <w:r/>
            <w:r>
              <w:rPr>
                <w:rFonts w:ascii="Times New Roman" w:hAnsi="Times New Roman" w:eastAsia="宋体"/>
                <w:b/>
                <w:sz w:val="20"/>
              </w:rPr>
              <w:t>Item</w:t>
            </w:r>
          </w:p>
        </w:tc>
        <w:tc>
          <w:tcPr>
            <w:tcW w:type="dxa" w:w="1020"/>
            <w:shd w:fill="D9E2F3" w:val="clear"/>
          </w:tcPr>
          <w:p>
            <w:pPr>
              <w:jc w:val="center"/>
            </w:pPr>
            <w:r/>
            <w:r>
              <w:rPr>
                <w:rFonts w:ascii="Times New Roman" w:hAnsi="Times New Roman" w:eastAsia="宋体"/>
                <w:b/>
                <w:sz w:val="20"/>
              </w:rPr>
              <w:t>Year 0</w:t>
            </w:r>
          </w:p>
        </w:tc>
        <w:tc>
          <w:tcPr>
            <w:tcW w:type="dxa" w:w="1020"/>
            <w:shd w:fill="D9E2F3" w:val="clear"/>
          </w:tcPr>
          <w:p>
            <w:pPr>
              <w:jc w:val="center"/>
            </w:pPr>
            <w:r/>
            <w:r>
              <w:rPr>
                <w:rFonts w:ascii="Times New Roman" w:hAnsi="Times New Roman" w:eastAsia="宋体"/>
                <w:b/>
                <w:sz w:val="20"/>
              </w:rPr>
              <w:t>Year 1</w:t>
            </w:r>
          </w:p>
        </w:tc>
        <w:tc>
          <w:tcPr>
            <w:tcW w:type="dxa" w:w="1020"/>
            <w:shd w:fill="D9E2F3" w:val="clear"/>
          </w:tcPr>
          <w:p>
            <w:pPr>
              <w:jc w:val="center"/>
            </w:pPr>
            <w:r/>
            <w:r>
              <w:rPr>
                <w:rFonts w:ascii="Times New Roman" w:hAnsi="Times New Roman" w:eastAsia="宋体"/>
                <w:b/>
                <w:sz w:val="20"/>
              </w:rPr>
              <w:t>Year 2</w:t>
            </w:r>
          </w:p>
        </w:tc>
        <w:tc>
          <w:tcPr>
            <w:tcW w:type="dxa" w:w="1020"/>
            <w:shd w:fill="D9E2F3" w:val="clear"/>
          </w:tcPr>
          <w:p>
            <w:pPr>
              <w:jc w:val="center"/>
            </w:pPr>
            <w:r/>
            <w:r>
              <w:rPr>
                <w:rFonts w:ascii="Times New Roman" w:hAnsi="Times New Roman" w:eastAsia="宋体"/>
                <w:b/>
                <w:sz w:val="20"/>
              </w:rPr>
              <w:t>Year 3</w:t>
            </w:r>
          </w:p>
        </w:tc>
        <w:tc>
          <w:tcPr>
            <w:tcW w:type="dxa" w:w="1020"/>
            <w:shd w:fill="D9E2F3" w:val="clear"/>
          </w:tcPr>
          <w:p>
            <w:pPr>
              <w:jc w:val="center"/>
            </w:pPr>
            <w:r/>
            <w:r>
              <w:rPr>
                <w:rFonts w:ascii="Times New Roman" w:hAnsi="Times New Roman" w:eastAsia="宋体"/>
                <w:b/>
                <w:sz w:val="20"/>
              </w:rPr>
              <w:t>Year 4</w:t>
            </w:r>
          </w:p>
        </w:tc>
        <w:tc>
          <w:tcPr>
            <w:tcW w:type="dxa" w:w="1020"/>
            <w:shd w:fill="D9E2F3" w:val="clear"/>
          </w:tcPr>
          <w:p>
            <w:pPr>
              <w:jc w:val="center"/>
            </w:pPr>
            <w:r/>
            <w:r>
              <w:rPr>
                <w:rFonts w:ascii="Times New Roman" w:hAnsi="Times New Roman" w:eastAsia="宋体"/>
                <w:b/>
                <w:sz w:val="20"/>
              </w:rPr>
              <w:t>Year 5</w:t>
            </w:r>
          </w:p>
        </w:tc>
      </w:tr>
      <w:tr>
        <w:tc>
          <w:tcPr>
            <w:tcW w:type="dxa" w:w="2268"/>
          </w:tcPr>
          <w:p>
            <w:pPr>
              <w:jc w:val="left"/>
            </w:pPr>
            <w:r/>
            <w:r>
              <w:rPr>
                <w:rFonts w:ascii="Times New Roman" w:hAnsi="Times New Roman" w:eastAsia="宋体"/>
                <w:b w:val="0"/>
                <w:sz w:val="20"/>
              </w:rPr>
              <w:t>Working Capital Investment</w:t>
            </w:r>
          </w:p>
        </w:tc>
        <w:tc>
          <w:tcPr>
            <w:tcW w:type="dxa" w:w="1020"/>
          </w:tcPr>
          <w:p>
            <w:pPr>
              <w:jc w:val="center"/>
            </w:pPr>
            <w:r/>
            <w:r>
              <w:rPr>
                <w:rFonts w:ascii="Times New Roman" w:hAnsi="Times New Roman" w:eastAsia="宋体"/>
                <w:b w:val="0"/>
                <w:sz w:val="20"/>
              </w:rPr>
              <w:t>3.00</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0</w:t>
            </w:r>
          </w:p>
        </w:tc>
      </w:tr>
      <w:tr>
        <w:tc>
          <w:tcPr>
            <w:tcW w:type="dxa" w:w="2268"/>
          </w:tcPr>
          <w:p>
            <w:pPr>
              <w:jc w:val="left"/>
            </w:pPr>
            <w:r/>
            <w:r>
              <w:rPr>
                <w:rFonts w:ascii="Times New Roman" w:hAnsi="Times New Roman" w:eastAsia="宋体"/>
                <w:b w:val="0"/>
                <w:sz w:val="20"/>
              </w:rPr>
              <w:t>Working Capital Recovery</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3.00</w:t>
            </w:r>
          </w:p>
        </w:tc>
      </w:tr>
    </w:tbl>
    <w:p/>
    <w:p>
      <w:r>
        <w:rPr>
          <w:rFonts w:ascii="Times New Roman" w:hAnsi="Times New Roman" w:eastAsia="宋体"/>
          <w:b w:val="0"/>
          <w:sz w:val="24"/>
        </w:rPr>
        <w:t>Working capital is primarily used for cloud resource prepayment, model API invocation fees, database storage costs, and short-term turnover during small-scale promotion. This report assumes RMB 30,000 of working capital is injected in Year 0 and fully recovered at the end of Year 5.</w:t>
      </w:r>
    </w:p>
    <w:p>
      <w:pPr>
        <w:pStyle w:val="Heading2"/>
      </w:pPr>
      <w:r>
        <w:rPr>
          <w:rFonts w:ascii="Times New Roman" w:hAnsi="Times New Roman" w:eastAsia="黑体"/>
        </w:rPr>
        <w:t>5.4 Fixed Asset Depreciation and Intangible Asset Amortization Table</w:t>
      </w:r>
    </w:p>
    <w:tbl>
      <w:tblPr>
        <w:tblStyle w:val="TableGrid"/>
        <w:tblW w:type="auto" w:w="0"/>
        <w:jc w:val="center"/>
        <w:tblLook w:firstColumn="1" w:firstRow="1" w:lastColumn="0" w:lastRow="0" w:noHBand="0" w:noVBand="1" w:val="04A0"/>
      </w:tblPr>
      <w:tblGrid>
        <w:gridCol w:w="1079"/>
        <w:gridCol w:w="1079"/>
        <w:gridCol w:w="1079"/>
        <w:gridCol w:w="1079"/>
        <w:gridCol w:w="1079"/>
        <w:gridCol w:w="1079"/>
        <w:gridCol w:w="1079"/>
        <w:gridCol w:w="1079"/>
      </w:tblGrid>
      <w:tr>
        <w:tc>
          <w:tcPr>
            <w:tcW w:type="dxa" w:w="2551"/>
            <w:shd w:fill="D9E2F3" w:val="clear"/>
          </w:tcPr>
          <w:p>
            <w:pPr>
              <w:jc w:val="center"/>
            </w:pPr>
            <w:r/>
            <w:r>
              <w:rPr>
                <w:rFonts w:ascii="Times New Roman" w:hAnsi="Times New Roman" w:eastAsia="宋体"/>
                <w:b/>
                <w:sz w:val="20"/>
              </w:rPr>
              <w:t>Item</w:t>
            </w:r>
          </w:p>
        </w:tc>
        <w:tc>
          <w:tcPr>
            <w:tcW w:type="dxa" w:w="1417"/>
            <w:shd w:fill="D9E2F3" w:val="clear"/>
          </w:tcPr>
          <w:p>
            <w:pPr>
              <w:jc w:val="center"/>
            </w:pPr>
            <w:r/>
            <w:r>
              <w:rPr>
                <w:rFonts w:ascii="Times New Roman" w:hAnsi="Times New Roman" w:eastAsia="宋体"/>
                <w:b/>
                <w:sz w:val="20"/>
              </w:rPr>
              <w:t>Original Value</w:t>
              <w:br/>
              <w:t>(RMB 10,000)</w:t>
            </w:r>
          </w:p>
        </w:tc>
        <w:tc>
          <w:tcPr>
            <w:tcW w:type="dxa" w:w="1020"/>
            <w:shd w:fill="D9E2F3" w:val="clear"/>
          </w:tcPr>
          <w:p>
            <w:pPr>
              <w:jc w:val="center"/>
            </w:pPr>
            <w:r/>
            <w:r>
              <w:rPr>
                <w:rFonts w:ascii="Times New Roman" w:hAnsi="Times New Roman" w:eastAsia="宋体"/>
                <w:b/>
                <w:sz w:val="20"/>
              </w:rPr>
              <w:t>Period</w:t>
            </w:r>
          </w:p>
        </w:tc>
        <w:tc>
          <w:tcPr>
            <w:tcW w:type="dxa" w:w="850"/>
            <w:shd w:fill="D9E2F3" w:val="clear"/>
          </w:tcPr>
          <w:p>
            <w:pPr>
              <w:jc w:val="center"/>
            </w:pPr>
            <w:r/>
            <w:r>
              <w:rPr>
                <w:rFonts w:ascii="Times New Roman" w:hAnsi="Times New Roman" w:eastAsia="宋体"/>
                <w:b/>
                <w:sz w:val="20"/>
              </w:rPr>
              <w:t>Year 1</w:t>
            </w:r>
          </w:p>
        </w:tc>
        <w:tc>
          <w:tcPr>
            <w:tcW w:type="dxa" w:w="850"/>
            <w:shd w:fill="D9E2F3" w:val="clear"/>
          </w:tcPr>
          <w:p>
            <w:pPr>
              <w:jc w:val="center"/>
            </w:pPr>
            <w:r/>
            <w:r>
              <w:rPr>
                <w:rFonts w:ascii="Times New Roman" w:hAnsi="Times New Roman" w:eastAsia="宋体"/>
                <w:b/>
                <w:sz w:val="20"/>
              </w:rPr>
              <w:t>Year 2</w:t>
            </w:r>
          </w:p>
        </w:tc>
        <w:tc>
          <w:tcPr>
            <w:tcW w:type="dxa" w:w="850"/>
            <w:shd w:fill="D9E2F3" w:val="clear"/>
          </w:tcPr>
          <w:p>
            <w:pPr>
              <w:jc w:val="center"/>
            </w:pPr>
            <w:r/>
            <w:r>
              <w:rPr>
                <w:rFonts w:ascii="Times New Roman" w:hAnsi="Times New Roman" w:eastAsia="宋体"/>
                <w:b/>
                <w:sz w:val="20"/>
              </w:rPr>
              <w:t>Year 3</w:t>
            </w:r>
          </w:p>
        </w:tc>
        <w:tc>
          <w:tcPr>
            <w:tcW w:type="dxa" w:w="850"/>
            <w:shd w:fill="D9E2F3" w:val="clear"/>
          </w:tcPr>
          <w:p>
            <w:pPr>
              <w:jc w:val="center"/>
            </w:pPr>
            <w:r/>
            <w:r>
              <w:rPr>
                <w:rFonts w:ascii="Times New Roman" w:hAnsi="Times New Roman" w:eastAsia="宋体"/>
                <w:b/>
                <w:sz w:val="20"/>
              </w:rPr>
              <w:t>Year 4</w:t>
            </w:r>
          </w:p>
        </w:tc>
        <w:tc>
          <w:tcPr>
            <w:tcW w:type="dxa" w:w="850"/>
            <w:shd w:fill="D9E2F3" w:val="clear"/>
          </w:tcPr>
          <w:p>
            <w:pPr>
              <w:jc w:val="center"/>
            </w:pPr>
            <w:r/>
            <w:r>
              <w:rPr>
                <w:rFonts w:ascii="Times New Roman" w:hAnsi="Times New Roman" w:eastAsia="宋体"/>
                <w:b/>
                <w:sz w:val="20"/>
              </w:rPr>
              <w:t>Year 5</w:t>
            </w:r>
          </w:p>
        </w:tc>
      </w:tr>
      <w:tr>
        <w:tc>
          <w:tcPr>
            <w:tcW w:type="dxa" w:w="2551"/>
          </w:tcPr>
          <w:p>
            <w:pPr>
              <w:jc w:val="left"/>
            </w:pPr>
            <w:r/>
            <w:r>
              <w:rPr>
                <w:rFonts w:ascii="Times New Roman" w:hAnsi="Times New Roman" w:eastAsia="宋体"/>
                <w:b w:val="0"/>
                <w:sz w:val="20"/>
              </w:rPr>
              <w:t>Fixed Asset Depreciation</w:t>
            </w:r>
          </w:p>
        </w:tc>
        <w:tc>
          <w:tcPr>
            <w:tcW w:type="dxa" w:w="1417"/>
          </w:tcPr>
          <w:p>
            <w:pPr>
              <w:jc w:val="center"/>
            </w:pPr>
            <w:r/>
            <w:r>
              <w:rPr>
                <w:rFonts w:ascii="Times New Roman" w:hAnsi="Times New Roman" w:eastAsia="宋体"/>
                <w:b w:val="0"/>
                <w:sz w:val="20"/>
              </w:rPr>
              <w:t>1.50</w:t>
            </w:r>
          </w:p>
        </w:tc>
        <w:tc>
          <w:tcPr>
            <w:tcW w:type="dxa" w:w="1020"/>
          </w:tcPr>
          <w:p>
            <w:pPr>
              <w:jc w:val="center"/>
            </w:pPr>
            <w:r/>
            <w:r>
              <w:rPr>
                <w:rFonts w:ascii="Times New Roman" w:hAnsi="Times New Roman" w:eastAsia="宋体"/>
                <w:b w:val="0"/>
                <w:sz w:val="20"/>
              </w:rPr>
              <w:t>5 years</w:t>
            </w:r>
          </w:p>
        </w:tc>
        <w:tc>
          <w:tcPr>
            <w:tcW w:type="dxa" w:w="850"/>
          </w:tcPr>
          <w:p>
            <w:pPr>
              <w:jc w:val="center"/>
            </w:pPr>
            <w:r/>
            <w:r>
              <w:rPr>
                <w:rFonts w:ascii="Times New Roman" w:hAnsi="Times New Roman" w:eastAsia="宋体"/>
                <w:b w:val="0"/>
                <w:sz w:val="20"/>
              </w:rPr>
              <w:t>0.30</w:t>
            </w:r>
          </w:p>
        </w:tc>
        <w:tc>
          <w:tcPr>
            <w:tcW w:type="dxa" w:w="850"/>
          </w:tcPr>
          <w:p>
            <w:pPr>
              <w:jc w:val="center"/>
            </w:pPr>
            <w:r/>
            <w:r>
              <w:rPr>
                <w:rFonts w:ascii="Times New Roman" w:hAnsi="Times New Roman" w:eastAsia="宋体"/>
                <w:b w:val="0"/>
                <w:sz w:val="20"/>
              </w:rPr>
              <w:t>0.30</w:t>
            </w:r>
          </w:p>
        </w:tc>
        <w:tc>
          <w:tcPr>
            <w:tcW w:type="dxa" w:w="850"/>
          </w:tcPr>
          <w:p>
            <w:pPr>
              <w:jc w:val="center"/>
            </w:pPr>
            <w:r/>
            <w:r>
              <w:rPr>
                <w:rFonts w:ascii="Times New Roman" w:hAnsi="Times New Roman" w:eastAsia="宋体"/>
                <w:b w:val="0"/>
                <w:sz w:val="20"/>
              </w:rPr>
              <w:t>0.30</w:t>
            </w:r>
          </w:p>
        </w:tc>
        <w:tc>
          <w:tcPr>
            <w:tcW w:type="dxa" w:w="850"/>
          </w:tcPr>
          <w:p>
            <w:pPr>
              <w:jc w:val="center"/>
            </w:pPr>
            <w:r/>
            <w:r>
              <w:rPr>
                <w:rFonts w:ascii="Times New Roman" w:hAnsi="Times New Roman" w:eastAsia="宋体"/>
                <w:b w:val="0"/>
                <w:sz w:val="20"/>
              </w:rPr>
              <w:t>0.30</w:t>
            </w:r>
          </w:p>
        </w:tc>
        <w:tc>
          <w:tcPr>
            <w:tcW w:type="dxa" w:w="850"/>
          </w:tcPr>
          <w:p>
            <w:pPr>
              <w:jc w:val="center"/>
            </w:pPr>
            <w:r/>
            <w:r>
              <w:rPr>
                <w:rFonts w:ascii="Times New Roman" w:hAnsi="Times New Roman" w:eastAsia="宋体"/>
                <w:b w:val="0"/>
                <w:sz w:val="20"/>
              </w:rPr>
              <w:t>0.30</w:t>
            </w:r>
          </w:p>
        </w:tc>
      </w:tr>
      <w:tr>
        <w:tc>
          <w:tcPr>
            <w:tcW w:type="dxa" w:w="2551"/>
          </w:tcPr>
          <w:p>
            <w:pPr>
              <w:jc w:val="left"/>
            </w:pPr>
            <w:r/>
            <w:r>
              <w:rPr>
                <w:rFonts w:ascii="Times New Roman" w:hAnsi="Times New Roman" w:eastAsia="宋体"/>
                <w:b w:val="0"/>
                <w:sz w:val="20"/>
              </w:rPr>
              <w:t>Intangible Asset Amortization</w:t>
            </w:r>
          </w:p>
        </w:tc>
        <w:tc>
          <w:tcPr>
            <w:tcW w:type="dxa" w:w="1417"/>
          </w:tcPr>
          <w:p>
            <w:pPr>
              <w:jc w:val="center"/>
            </w:pPr>
            <w:r/>
            <w:r>
              <w:rPr>
                <w:rFonts w:ascii="Times New Roman" w:hAnsi="Times New Roman" w:eastAsia="宋体"/>
                <w:b w:val="0"/>
                <w:sz w:val="20"/>
              </w:rPr>
              <w:t>6.50</w:t>
            </w:r>
          </w:p>
        </w:tc>
        <w:tc>
          <w:tcPr>
            <w:tcW w:type="dxa" w:w="1020"/>
          </w:tcPr>
          <w:p>
            <w:pPr>
              <w:jc w:val="center"/>
            </w:pPr>
            <w:r/>
            <w:r>
              <w:rPr>
                <w:rFonts w:ascii="Times New Roman" w:hAnsi="Times New Roman" w:eastAsia="宋体"/>
                <w:b w:val="0"/>
                <w:sz w:val="20"/>
              </w:rPr>
              <w:t>5 years</w:t>
            </w:r>
          </w:p>
        </w:tc>
        <w:tc>
          <w:tcPr>
            <w:tcW w:type="dxa" w:w="850"/>
          </w:tcPr>
          <w:p>
            <w:pPr>
              <w:jc w:val="center"/>
            </w:pPr>
            <w:r/>
            <w:r>
              <w:rPr>
                <w:rFonts w:ascii="Times New Roman" w:hAnsi="Times New Roman" w:eastAsia="宋体"/>
                <w:b w:val="0"/>
                <w:sz w:val="20"/>
              </w:rPr>
              <w:t>1.30</w:t>
            </w:r>
          </w:p>
        </w:tc>
        <w:tc>
          <w:tcPr>
            <w:tcW w:type="dxa" w:w="850"/>
          </w:tcPr>
          <w:p>
            <w:pPr>
              <w:jc w:val="center"/>
            </w:pPr>
            <w:r/>
            <w:r>
              <w:rPr>
                <w:rFonts w:ascii="Times New Roman" w:hAnsi="Times New Roman" w:eastAsia="宋体"/>
                <w:b w:val="0"/>
                <w:sz w:val="20"/>
              </w:rPr>
              <w:t>1.30</w:t>
            </w:r>
          </w:p>
        </w:tc>
        <w:tc>
          <w:tcPr>
            <w:tcW w:type="dxa" w:w="850"/>
          </w:tcPr>
          <w:p>
            <w:pPr>
              <w:jc w:val="center"/>
            </w:pPr>
            <w:r/>
            <w:r>
              <w:rPr>
                <w:rFonts w:ascii="Times New Roman" w:hAnsi="Times New Roman" w:eastAsia="宋体"/>
                <w:b w:val="0"/>
                <w:sz w:val="20"/>
              </w:rPr>
              <w:t>1.30</w:t>
            </w:r>
          </w:p>
        </w:tc>
        <w:tc>
          <w:tcPr>
            <w:tcW w:type="dxa" w:w="850"/>
          </w:tcPr>
          <w:p>
            <w:pPr>
              <w:jc w:val="center"/>
            </w:pPr>
            <w:r/>
            <w:r>
              <w:rPr>
                <w:rFonts w:ascii="Times New Roman" w:hAnsi="Times New Roman" w:eastAsia="宋体"/>
                <w:b w:val="0"/>
                <w:sz w:val="20"/>
              </w:rPr>
              <w:t>1.30</w:t>
            </w:r>
          </w:p>
        </w:tc>
        <w:tc>
          <w:tcPr>
            <w:tcW w:type="dxa" w:w="850"/>
          </w:tcPr>
          <w:p>
            <w:pPr>
              <w:jc w:val="center"/>
            </w:pPr>
            <w:r/>
            <w:r>
              <w:rPr>
                <w:rFonts w:ascii="Times New Roman" w:hAnsi="Times New Roman" w:eastAsia="宋体"/>
                <w:b w:val="0"/>
                <w:sz w:val="20"/>
              </w:rPr>
              <w:t>1.30</w:t>
            </w:r>
          </w:p>
        </w:tc>
      </w:tr>
      <w:tr>
        <w:tc>
          <w:tcPr>
            <w:tcW w:type="dxa" w:w="2551"/>
          </w:tcPr>
          <w:p>
            <w:pPr>
              <w:jc w:val="left"/>
            </w:pPr>
            <w:r/>
            <w:r>
              <w:rPr>
                <w:rFonts w:ascii="Times New Roman" w:hAnsi="Times New Roman" w:eastAsia="宋体"/>
                <w:b w:val="0"/>
                <w:sz w:val="20"/>
              </w:rPr>
              <w:t>Total</w:t>
            </w:r>
          </w:p>
        </w:tc>
        <w:tc>
          <w:tcPr>
            <w:tcW w:type="dxa" w:w="1417"/>
          </w:tcPr>
          <w:p>
            <w:pPr>
              <w:jc w:val="center"/>
            </w:pPr>
            <w:r/>
            <w:r>
              <w:rPr>
                <w:rFonts w:ascii="Times New Roman" w:hAnsi="Times New Roman" w:eastAsia="宋体"/>
                <w:b w:val="0"/>
                <w:sz w:val="20"/>
              </w:rPr>
              <w:t>8.00</w:t>
            </w:r>
          </w:p>
        </w:tc>
        <w:tc>
          <w:tcPr>
            <w:tcW w:type="dxa" w:w="1020"/>
          </w:tcPr>
          <w:p>
            <w:pPr>
              <w:jc w:val="center"/>
            </w:pPr>
            <w:r/>
            <w:r>
              <w:rPr>
                <w:rFonts w:ascii="Times New Roman" w:hAnsi="Times New Roman" w:eastAsia="宋体"/>
                <w:b w:val="0"/>
                <w:sz w:val="20"/>
              </w:rPr>
              <w:t>—</w:t>
            </w:r>
          </w:p>
        </w:tc>
        <w:tc>
          <w:tcPr>
            <w:tcW w:type="dxa" w:w="850"/>
          </w:tcPr>
          <w:p>
            <w:pPr>
              <w:jc w:val="center"/>
            </w:pPr>
            <w:r/>
            <w:r>
              <w:rPr>
                <w:rFonts w:ascii="Times New Roman" w:hAnsi="Times New Roman" w:eastAsia="宋体"/>
                <w:b w:val="0"/>
                <w:sz w:val="20"/>
              </w:rPr>
              <w:t>1.60</w:t>
            </w:r>
          </w:p>
        </w:tc>
        <w:tc>
          <w:tcPr>
            <w:tcW w:type="dxa" w:w="850"/>
          </w:tcPr>
          <w:p>
            <w:pPr>
              <w:jc w:val="center"/>
            </w:pPr>
            <w:r/>
            <w:r>
              <w:rPr>
                <w:rFonts w:ascii="Times New Roman" w:hAnsi="Times New Roman" w:eastAsia="宋体"/>
                <w:b w:val="0"/>
                <w:sz w:val="20"/>
              </w:rPr>
              <w:t>1.60</w:t>
            </w:r>
          </w:p>
        </w:tc>
        <w:tc>
          <w:tcPr>
            <w:tcW w:type="dxa" w:w="850"/>
          </w:tcPr>
          <w:p>
            <w:pPr>
              <w:jc w:val="center"/>
            </w:pPr>
            <w:r/>
            <w:r>
              <w:rPr>
                <w:rFonts w:ascii="Times New Roman" w:hAnsi="Times New Roman" w:eastAsia="宋体"/>
                <w:b w:val="0"/>
                <w:sz w:val="20"/>
              </w:rPr>
              <w:t>1.60</w:t>
            </w:r>
          </w:p>
        </w:tc>
        <w:tc>
          <w:tcPr>
            <w:tcW w:type="dxa" w:w="850"/>
          </w:tcPr>
          <w:p>
            <w:pPr>
              <w:jc w:val="center"/>
            </w:pPr>
            <w:r/>
            <w:r>
              <w:rPr>
                <w:rFonts w:ascii="Times New Roman" w:hAnsi="Times New Roman" w:eastAsia="宋体"/>
                <w:b w:val="0"/>
                <w:sz w:val="20"/>
              </w:rPr>
              <w:t>1.60</w:t>
            </w:r>
          </w:p>
        </w:tc>
        <w:tc>
          <w:tcPr>
            <w:tcW w:type="dxa" w:w="850"/>
          </w:tcPr>
          <w:p>
            <w:pPr>
              <w:jc w:val="center"/>
            </w:pPr>
            <w:r/>
            <w:r>
              <w:rPr>
                <w:rFonts w:ascii="Times New Roman" w:hAnsi="Times New Roman" w:eastAsia="宋体"/>
                <w:b w:val="0"/>
                <w:sz w:val="20"/>
              </w:rPr>
              <w:t>1.60</w:t>
            </w:r>
          </w:p>
        </w:tc>
      </w:tr>
    </w:tbl>
    <w:p/>
    <w:p>
      <w:pPr>
        <w:pStyle w:val="Heading2"/>
      </w:pPr>
      <w:r>
        <w:rPr>
          <w:rFonts w:ascii="Times New Roman" w:hAnsi="Times New Roman" w:eastAsia="黑体"/>
        </w:rPr>
        <w:t>5.5 Fund Raising Plan</w:t>
      </w:r>
    </w:p>
    <w:p>
      <w:r>
        <w:rPr>
          <w:rFonts w:ascii="Times New Roman" w:hAnsi="Times New Roman" w:eastAsia="宋体"/>
          <w:b w:val="0"/>
          <w:sz w:val="24"/>
        </w:rPr>
        <w:t>The total initial investment of RMB 120,000 for HeartCompass is relatively modest by software startup standards. This report proposes a self-funded + angel investment model consistent with the project's nature as an MVP-stage AI companionship service:</w:t>
      </w:r>
    </w:p>
    <w:p>
      <w:r>
        <w:rPr>
          <w:rFonts w:ascii="Times New Roman" w:hAnsi="Times New Roman" w:eastAsia="宋体"/>
          <w:b w:val="0"/>
          <w:sz w:val="24"/>
        </w:rPr>
        <w:t>• Self-Funding (RMB 40,000, 33.3%): The founding team contributes development equipment, existing code assets (valued at cost), and initial operating expenses. Since the course project prototype has already been developed, the capitalized software development cost (RMB 65,000) represents an in-kind contribution from the team's prior effort.</w:t>
        <w:br/>
        <w:t>• Angel / Seed Round (RMB 80,000, 66.7%): To cover server procurement (RMB 15,000), testing and compliance preparation (RMB 10,000), and the first year of working capital (RMB 30,000), with the remaining RMB 25,000 as contingency reserve. Given the project's focused positioning, demonstrable MVP, and modest capital requirement, this amount is within the typical range for pre-seed / angel rounds in the Chinese AI startup ecosystem.</w:t>
      </w:r>
    </w:p>
    <w:p>
      <w:r>
        <w:rPr>
          <w:rFonts w:ascii="Times New Roman" w:hAnsi="Times New Roman" w:eastAsia="宋体"/>
          <w:b w:val="0"/>
          <w:sz w:val="24"/>
        </w:rPr>
        <w:t>The fund raising plan is structured to minimize dilution: the team's existing development work (298 person-hours, equivalent to RMB 35,800 in direct labor cost) serves as the primary in-kind contribution. External funding is sought only for cash-intensive items (hardware, paid cloud services, and initial working capital). This structure preserves founder equity while ensuring adequate cash runway for the first 12-18 months of operation.</w:t>
      </w:r>
    </w:p>
    <w:p>
      <w:r>
        <w:rPr>
          <w:rFonts w:ascii="Times New Roman" w:hAnsi="Times New Roman" w:eastAsia="宋体"/>
          <w:b w:val="0"/>
          <w:sz w:val="24"/>
        </w:rPr>
        <w:t>Should external funding not materialize, the project can adopt a bootstrapping path: defer server purchases by using existing development machines, reduce working capital to RMB 15,000 by limiting initial model API consumption to free-tier quotas, and launch with only the Personal Companion Edition to generate early revenue. Under this bootstrap scenario, the total initial cash outlay drops to approximately RMB 25,000, which is independently financeable by the founding team.</w:t>
      </w:r>
    </w:p>
    <w:p>
      <w:pPr>
        <w:pStyle w:val="Heading2"/>
      </w:pPr>
      <w:r>
        <w:rPr>
          <w:rFonts w:ascii="Times New Roman" w:hAnsi="Times New Roman" w:eastAsia="黑体"/>
        </w:rPr>
        <w:t>5.6 Capital Usage Plan</w:t>
      </w:r>
    </w:p>
    <w:p>
      <w:r>
        <w:rPr>
          <w:rFonts w:ascii="Times New Roman" w:hAnsi="Times New Roman" w:eastAsia="宋体"/>
          <w:b w:val="0"/>
          <w:sz w:val="24"/>
        </w:rPr>
        <w:t>The capital usage plan details the allocation and timing of the RMB 120,000 total investment across the construction period (Year 0) and early operation period. The plan ensures that funds are deployed in alignment with project milestones:</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3118"/>
            <w:shd w:fill="D9E2F3" w:val="clear"/>
          </w:tcPr>
          <w:p>
            <w:pPr>
              <w:jc w:val="center"/>
            </w:pPr>
            <w:r/>
            <w:r>
              <w:rPr>
                <w:rFonts w:ascii="Times New Roman" w:hAnsi="Times New Roman" w:eastAsia="宋体"/>
                <w:b/>
                <w:sz w:val="20"/>
              </w:rPr>
              <w:t>Capital Usage Item</w:t>
            </w:r>
          </w:p>
        </w:tc>
        <w:tc>
          <w:tcPr>
            <w:tcW w:type="dxa" w:w="1417"/>
            <w:shd w:fill="D9E2F3" w:val="clear"/>
          </w:tcPr>
          <w:p>
            <w:pPr>
              <w:jc w:val="center"/>
            </w:pPr>
            <w:r/>
            <w:r>
              <w:rPr>
                <w:rFonts w:ascii="Times New Roman" w:hAnsi="Times New Roman" w:eastAsia="宋体"/>
                <w:b/>
                <w:sz w:val="20"/>
              </w:rPr>
              <w:t>Amount</w:t>
              <w:br/>
              <w:t>(RMB 10,000)</w:t>
            </w:r>
          </w:p>
        </w:tc>
        <w:tc>
          <w:tcPr>
            <w:tcW w:type="dxa" w:w="1701"/>
            <w:shd w:fill="D9E2F3" w:val="clear"/>
          </w:tcPr>
          <w:p>
            <w:pPr>
              <w:jc w:val="center"/>
            </w:pPr>
            <w:r/>
            <w:r>
              <w:rPr>
                <w:rFonts w:ascii="Times New Roman" w:hAnsi="Times New Roman" w:eastAsia="宋体"/>
                <w:b/>
                <w:sz w:val="20"/>
              </w:rPr>
              <w:t>Timing</w:t>
            </w:r>
          </w:p>
        </w:tc>
        <w:tc>
          <w:tcPr>
            <w:tcW w:type="dxa" w:w="2835"/>
            <w:shd w:fill="D9E2F3" w:val="clear"/>
          </w:tcPr>
          <w:p>
            <w:pPr>
              <w:jc w:val="center"/>
            </w:pPr>
            <w:r/>
            <w:r>
              <w:rPr>
                <w:rFonts w:ascii="Times New Roman" w:hAnsi="Times New Roman" w:eastAsia="宋体"/>
                <w:b/>
                <w:sz w:val="20"/>
              </w:rPr>
              <w:t>Milestone Trigger</w:t>
            </w:r>
          </w:p>
        </w:tc>
      </w:tr>
      <w:tr>
        <w:tc>
          <w:tcPr>
            <w:tcW w:type="dxa" w:w="3118"/>
          </w:tcPr>
          <w:p>
            <w:pPr>
              <w:jc w:val="left"/>
            </w:pPr>
            <w:r/>
            <w:r>
              <w:rPr>
                <w:rFonts w:ascii="Times New Roman" w:hAnsi="Times New Roman" w:eastAsia="宋体"/>
                <w:b w:val="0"/>
                <w:sz w:val="20"/>
              </w:rPr>
              <w:t>Software Asset Capitalization</w:t>
            </w:r>
          </w:p>
        </w:tc>
        <w:tc>
          <w:tcPr>
            <w:tcW w:type="dxa" w:w="1417"/>
          </w:tcPr>
          <w:p>
            <w:pPr>
              <w:jc w:val="center"/>
            </w:pPr>
            <w:r/>
            <w:r>
              <w:rPr>
                <w:rFonts w:ascii="Times New Roman" w:hAnsi="Times New Roman" w:eastAsia="宋体"/>
                <w:b w:val="0"/>
                <w:sz w:val="20"/>
              </w:rPr>
              <w:t>6.50</w:t>
            </w:r>
          </w:p>
        </w:tc>
        <w:tc>
          <w:tcPr>
            <w:tcW w:type="dxa" w:w="1701"/>
          </w:tcPr>
          <w:p>
            <w:pPr>
              <w:jc w:val="center"/>
            </w:pPr>
            <w:r/>
            <w:r>
              <w:rPr>
                <w:rFonts w:ascii="Times New Roman" w:hAnsi="Times New Roman" w:eastAsia="宋体"/>
                <w:b w:val="0"/>
                <w:sz w:val="20"/>
              </w:rPr>
              <w:t>Year 0, Month 1</w:t>
            </w:r>
          </w:p>
        </w:tc>
        <w:tc>
          <w:tcPr>
            <w:tcW w:type="dxa" w:w="2835"/>
          </w:tcPr>
          <w:p>
            <w:pPr>
              <w:jc w:val="center"/>
            </w:pPr>
            <w:r/>
            <w:r>
              <w:rPr>
                <w:rFonts w:ascii="Times New Roman" w:hAnsi="Times New Roman" w:eastAsia="宋体"/>
                <w:b w:val="0"/>
                <w:sz w:val="20"/>
              </w:rPr>
              <w:t>MVP completion and code freeze</w:t>
            </w:r>
          </w:p>
        </w:tc>
      </w:tr>
      <w:tr>
        <w:tc>
          <w:tcPr>
            <w:tcW w:type="dxa" w:w="3118"/>
          </w:tcPr>
          <w:p>
            <w:pPr>
              <w:jc w:val="left"/>
            </w:pPr>
            <w:r/>
            <w:r>
              <w:rPr>
                <w:rFonts w:ascii="Times New Roman" w:hAnsi="Times New Roman" w:eastAsia="宋体"/>
                <w:b w:val="0"/>
                <w:sz w:val="20"/>
              </w:rPr>
              <w:t>Server &amp; Infrastructure Procurement</w:t>
            </w:r>
          </w:p>
        </w:tc>
        <w:tc>
          <w:tcPr>
            <w:tcW w:type="dxa" w:w="1417"/>
          </w:tcPr>
          <w:p>
            <w:pPr>
              <w:jc w:val="center"/>
            </w:pPr>
            <w:r/>
            <w:r>
              <w:rPr>
                <w:rFonts w:ascii="Times New Roman" w:hAnsi="Times New Roman" w:eastAsia="宋体"/>
                <w:b w:val="0"/>
                <w:sz w:val="20"/>
              </w:rPr>
              <w:t>1.50</w:t>
            </w:r>
          </w:p>
        </w:tc>
        <w:tc>
          <w:tcPr>
            <w:tcW w:type="dxa" w:w="1701"/>
          </w:tcPr>
          <w:p>
            <w:pPr>
              <w:jc w:val="center"/>
            </w:pPr>
            <w:r/>
            <w:r>
              <w:rPr>
                <w:rFonts w:ascii="Times New Roman" w:hAnsi="Times New Roman" w:eastAsia="宋体"/>
                <w:b w:val="0"/>
                <w:sz w:val="20"/>
              </w:rPr>
              <w:t>Year 0, Month 1-2</w:t>
            </w:r>
          </w:p>
        </w:tc>
        <w:tc>
          <w:tcPr>
            <w:tcW w:type="dxa" w:w="2835"/>
          </w:tcPr>
          <w:p>
            <w:pPr>
              <w:jc w:val="center"/>
            </w:pPr>
            <w:r/>
            <w:r>
              <w:rPr>
                <w:rFonts w:ascii="Times New Roman" w:hAnsi="Times New Roman" w:eastAsia="宋体"/>
                <w:b w:val="0"/>
                <w:sz w:val="20"/>
              </w:rPr>
              <w:t>Deployment environment provisioning</w:t>
            </w:r>
          </w:p>
        </w:tc>
      </w:tr>
      <w:tr>
        <w:tc>
          <w:tcPr>
            <w:tcW w:type="dxa" w:w="3118"/>
          </w:tcPr>
          <w:p>
            <w:pPr>
              <w:jc w:val="left"/>
            </w:pPr>
            <w:r/>
            <w:r>
              <w:rPr>
                <w:rFonts w:ascii="Times New Roman" w:hAnsi="Times New Roman" w:eastAsia="宋体"/>
                <w:b w:val="0"/>
                <w:sz w:val="20"/>
              </w:rPr>
              <w:t>Testing &amp; Compliance Preparation</w:t>
            </w:r>
          </w:p>
        </w:tc>
        <w:tc>
          <w:tcPr>
            <w:tcW w:type="dxa" w:w="1417"/>
          </w:tcPr>
          <w:p>
            <w:pPr>
              <w:jc w:val="center"/>
            </w:pPr>
            <w:r/>
            <w:r>
              <w:rPr>
                <w:rFonts w:ascii="Times New Roman" w:hAnsi="Times New Roman" w:eastAsia="宋体"/>
                <w:b w:val="0"/>
                <w:sz w:val="20"/>
              </w:rPr>
              <w:t>1.00</w:t>
            </w:r>
          </w:p>
        </w:tc>
        <w:tc>
          <w:tcPr>
            <w:tcW w:type="dxa" w:w="1701"/>
          </w:tcPr>
          <w:p>
            <w:pPr>
              <w:jc w:val="center"/>
            </w:pPr>
            <w:r/>
            <w:r>
              <w:rPr>
                <w:rFonts w:ascii="Times New Roman" w:hAnsi="Times New Roman" w:eastAsia="宋体"/>
                <w:b w:val="0"/>
                <w:sz w:val="20"/>
              </w:rPr>
              <w:t>Year 0, Month 2-3</w:t>
            </w:r>
          </w:p>
        </w:tc>
        <w:tc>
          <w:tcPr>
            <w:tcW w:type="dxa" w:w="2835"/>
          </w:tcPr>
          <w:p>
            <w:pPr>
              <w:jc w:val="center"/>
            </w:pPr>
            <w:r/>
            <w:r>
              <w:rPr>
                <w:rFonts w:ascii="Times New Roman" w:hAnsi="Times New Roman" w:eastAsia="宋体"/>
                <w:b w:val="0"/>
                <w:sz w:val="20"/>
              </w:rPr>
              <w:t>Security audit and launch readiness</w:t>
            </w:r>
          </w:p>
        </w:tc>
      </w:tr>
      <w:tr>
        <w:tc>
          <w:tcPr>
            <w:tcW w:type="dxa" w:w="3118"/>
          </w:tcPr>
          <w:p>
            <w:pPr>
              <w:jc w:val="left"/>
            </w:pPr>
            <w:r/>
            <w:r>
              <w:rPr>
                <w:rFonts w:ascii="Times New Roman" w:hAnsi="Times New Roman" w:eastAsia="宋体"/>
                <w:b w:val="0"/>
                <w:sz w:val="20"/>
              </w:rPr>
              <w:t>Working Capital — Cloud &amp; API Prepayment</w:t>
            </w:r>
          </w:p>
        </w:tc>
        <w:tc>
          <w:tcPr>
            <w:tcW w:type="dxa" w:w="1417"/>
          </w:tcPr>
          <w:p>
            <w:pPr>
              <w:jc w:val="center"/>
            </w:pPr>
            <w:r/>
            <w:r>
              <w:rPr>
                <w:rFonts w:ascii="Times New Roman" w:hAnsi="Times New Roman" w:eastAsia="宋体"/>
                <w:b w:val="0"/>
                <w:sz w:val="20"/>
              </w:rPr>
              <w:t>1.50</w:t>
            </w:r>
          </w:p>
        </w:tc>
        <w:tc>
          <w:tcPr>
            <w:tcW w:type="dxa" w:w="1701"/>
          </w:tcPr>
          <w:p>
            <w:pPr>
              <w:jc w:val="center"/>
            </w:pPr>
            <w:r/>
            <w:r>
              <w:rPr>
                <w:rFonts w:ascii="Times New Roman" w:hAnsi="Times New Roman" w:eastAsia="宋体"/>
                <w:b w:val="0"/>
                <w:sz w:val="20"/>
              </w:rPr>
              <w:t>Year 0, Month 3</w:t>
            </w:r>
          </w:p>
        </w:tc>
        <w:tc>
          <w:tcPr>
            <w:tcW w:type="dxa" w:w="2835"/>
          </w:tcPr>
          <w:p>
            <w:pPr>
              <w:jc w:val="center"/>
            </w:pPr>
            <w:r/>
            <w:r>
              <w:rPr>
                <w:rFonts w:ascii="Times New Roman" w:hAnsi="Times New Roman" w:eastAsia="宋体"/>
                <w:b w:val="0"/>
                <w:sz w:val="20"/>
              </w:rPr>
              <w:t>Service launch and first user onboarding</w:t>
            </w:r>
          </w:p>
        </w:tc>
      </w:tr>
      <w:tr>
        <w:tc>
          <w:tcPr>
            <w:tcW w:type="dxa" w:w="3118"/>
          </w:tcPr>
          <w:p>
            <w:pPr>
              <w:jc w:val="left"/>
            </w:pPr>
            <w:r/>
            <w:r>
              <w:rPr>
                <w:rFonts w:ascii="Times New Roman" w:hAnsi="Times New Roman" w:eastAsia="宋体"/>
                <w:b w:val="0"/>
                <w:sz w:val="20"/>
              </w:rPr>
              <w:t>Working Capital — Operating Reserve</w:t>
            </w:r>
          </w:p>
        </w:tc>
        <w:tc>
          <w:tcPr>
            <w:tcW w:type="dxa" w:w="1417"/>
          </w:tcPr>
          <w:p>
            <w:pPr>
              <w:jc w:val="center"/>
            </w:pPr>
            <w:r/>
            <w:r>
              <w:rPr>
                <w:rFonts w:ascii="Times New Roman" w:hAnsi="Times New Roman" w:eastAsia="宋体"/>
                <w:b w:val="0"/>
                <w:sz w:val="20"/>
              </w:rPr>
              <w:t>1.00</w:t>
            </w:r>
          </w:p>
        </w:tc>
        <w:tc>
          <w:tcPr>
            <w:tcW w:type="dxa" w:w="1701"/>
          </w:tcPr>
          <w:p>
            <w:pPr>
              <w:jc w:val="center"/>
            </w:pPr>
            <w:r/>
            <w:r>
              <w:rPr>
                <w:rFonts w:ascii="Times New Roman" w:hAnsi="Times New Roman" w:eastAsia="宋体"/>
                <w:b w:val="0"/>
                <w:sz w:val="20"/>
              </w:rPr>
              <w:t>Year 0, Month 3-6</w:t>
            </w:r>
          </w:p>
        </w:tc>
        <w:tc>
          <w:tcPr>
            <w:tcW w:type="dxa" w:w="2835"/>
          </w:tcPr>
          <w:p>
            <w:pPr>
              <w:jc w:val="center"/>
            </w:pPr>
            <w:r/>
            <w:r>
              <w:rPr>
                <w:rFonts w:ascii="Times New Roman" w:hAnsi="Times New Roman" w:eastAsia="宋体"/>
                <w:b w:val="0"/>
                <w:sz w:val="20"/>
              </w:rPr>
              <w:t>Buffer for initial operations</w:t>
            </w:r>
          </w:p>
        </w:tc>
      </w:tr>
      <w:tr>
        <w:tc>
          <w:tcPr>
            <w:tcW w:type="dxa" w:w="3118"/>
          </w:tcPr>
          <w:p>
            <w:pPr>
              <w:jc w:val="left"/>
            </w:pPr>
            <w:r/>
            <w:r>
              <w:rPr>
                <w:rFonts w:ascii="Times New Roman" w:hAnsi="Times New Roman" w:eastAsia="宋体"/>
                <w:b w:val="0"/>
                <w:sz w:val="20"/>
              </w:rPr>
              <w:t>Working Capital — Promotion &amp; Content</w:t>
            </w:r>
          </w:p>
        </w:tc>
        <w:tc>
          <w:tcPr>
            <w:tcW w:type="dxa" w:w="1417"/>
          </w:tcPr>
          <w:p>
            <w:pPr>
              <w:jc w:val="center"/>
            </w:pPr>
            <w:r/>
            <w:r>
              <w:rPr>
                <w:rFonts w:ascii="Times New Roman" w:hAnsi="Times New Roman" w:eastAsia="宋体"/>
                <w:b w:val="0"/>
                <w:sz w:val="20"/>
              </w:rPr>
              <w:t>0.50</w:t>
            </w:r>
          </w:p>
        </w:tc>
        <w:tc>
          <w:tcPr>
            <w:tcW w:type="dxa" w:w="1701"/>
          </w:tcPr>
          <w:p>
            <w:pPr>
              <w:jc w:val="center"/>
            </w:pPr>
            <w:r/>
            <w:r>
              <w:rPr>
                <w:rFonts w:ascii="Times New Roman" w:hAnsi="Times New Roman" w:eastAsia="宋体"/>
                <w:b w:val="0"/>
                <w:sz w:val="20"/>
              </w:rPr>
              <w:t>Year 0, Month 4-6</w:t>
            </w:r>
          </w:p>
        </w:tc>
        <w:tc>
          <w:tcPr>
            <w:tcW w:type="dxa" w:w="2835"/>
          </w:tcPr>
          <w:p>
            <w:pPr>
              <w:jc w:val="center"/>
            </w:pPr>
            <w:r/>
            <w:r>
              <w:rPr>
                <w:rFonts w:ascii="Times New Roman" w:hAnsi="Times New Roman" w:eastAsia="宋体"/>
                <w:b w:val="0"/>
                <w:sz w:val="20"/>
              </w:rPr>
              <w:t>Seed-user acquisition and content organization</w:t>
            </w:r>
          </w:p>
        </w:tc>
      </w:tr>
      <w:tr>
        <w:tc>
          <w:tcPr>
            <w:tcW w:type="dxa" w:w="3118"/>
          </w:tcPr>
          <w:p>
            <w:pPr>
              <w:jc w:val="left"/>
            </w:pPr>
            <w:r/>
            <w:r>
              <w:rPr>
                <w:rFonts w:ascii="Times New Roman" w:hAnsi="Times New Roman" w:eastAsia="宋体"/>
                <w:b w:val="0"/>
                <w:sz w:val="20"/>
              </w:rPr>
              <w:t>Total</w:t>
            </w:r>
          </w:p>
        </w:tc>
        <w:tc>
          <w:tcPr>
            <w:tcW w:type="dxa" w:w="1417"/>
          </w:tcPr>
          <w:p>
            <w:pPr>
              <w:jc w:val="center"/>
            </w:pPr>
            <w:r/>
            <w:r>
              <w:rPr>
                <w:rFonts w:ascii="Times New Roman" w:hAnsi="Times New Roman" w:eastAsia="宋体"/>
                <w:b w:val="0"/>
                <w:sz w:val="20"/>
              </w:rPr>
              <w:t>12.00</w:t>
            </w:r>
          </w:p>
        </w:tc>
        <w:tc>
          <w:tcPr>
            <w:tcW w:type="dxa" w:w="1701"/>
          </w:tcPr>
          <w:p>
            <w:pPr>
              <w:jc w:val="center"/>
            </w:pPr>
            <w:r/>
            <w:r>
              <w:rPr>
                <w:rFonts w:ascii="Times New Roman" w:hAnsi="Times New Roman" w:eastAsia="宋体"/>
                <w:b w:val="0"/>
                <w:sz w:val="20"/>
              </w:rPr>
              <w:t>Year 0 (6 months)</w:t>
            </w:r>
          </w:p>
        </w:tc>
        <w:tc>
          <w:tcPr>
            <w:tcW w:type="dxa" w:w="2835"/>
          </w:tcPr>
          <w:p>
            <w:pPr>
              <w:jc w:val="center"/>
            </w:pPr>
            <w:r/>
            <w:r>
              <w:rPr>
                <w:rFonts w:ascii="Times New Roman" w:hAnsi="Times New Roman" w:eastAsia="宋体"/>
                <w:b w:val="0"/>
                <w:sz w:val="20"/>
              </w:rPr>
              <w:t>—</w:t>
            </w:r>
          </w:p>
        </w:tc>
      </w:tr>
    </w:tbl>
    <w:p/>
    <w:p>
      <w:r>
        <w:rPr>
          <w:rFonts w:ascii="Times New Roman" w:hAnsi="Times New Roman" w:eastAsia="宋体"/>
          <w:b w:val="0"/>
          <w:sz w:val="24"/>
        </w:rPr>
        <w:t>The capital deployment follows a phased approach: Months 1-2 focus on asset formation (software capitalization, server procurement); Months 2-3 cover launch preparation (testing, compliance, documentation); Months 3-6 fund initial operations (cloud services, model API calls, seed-user promotion). The RMB 30,000 working capital component is distributed across cloud prepayment (RMB 15,000), operating reserve (RMB 10,000), and promotion (RMB 5,000) to ensure that the service can operate sustainably from launch through the first revenue-generating period without additional cash injections.</w:t>
      </w:r>
    </w:p>
    <w:p>
      <w:pPr>
        <w:pStyle w:val="Heading1"/>
      </w:pPr>
      <w:r>
        <w:rPr>
          <w:rFonts w:ascii="Times New Roman" w:hAnsi="Times New Roman" w:eastAsia="黑体"/>
        </w:rPr>
        <w:t>VI. Revenue, Taxes, and Cost Estimation</w:t>
      </w:r>
    </w:p>
    <w:p>
      <w:pPr>
        <w:pStyle w:val="Heading2"/>
      </w:pPr>
      <w:r>
        <w:rPr>
          <w:rFonts w:ascii="Times New Roman" w:hAnsi="Times New Roman" w:eastAsia="黑体"/>
        </w:rPr>
        <w:t>6.1 Operating Revenue Estimation</w:t>
      </w:r>
    </w:p>
    <w:p>
      <w:r>
        <w:rPr>
          <w:rFonts w:ascii="Times New Roman" w:hAnsi="Times New Roman" w:eastAsia="宋体"/>
          <w:b w:val="0"/>
          <w:sz w:val="24"/>
        </w:rPr>
        <w:t>The revenue projection is grounded in the actual usage scenarios of digital companion personas. In Year 1, revenue primarily originates from seed users, small-scale trial conversions, and a limited number of customized commemorative archive projects. From Year 2 through Year 5, as product stability improves, memory effects strengthen, and family/group scenarios expand, subscription revenue from personal plans, family/group editions, and customized services grows year over year.</w:t>
      </w:r>
    </w:p>
    <w:p>
      <w:r>
        <w:rPr>
          <w:rFonts w:ascii="Times New Roman" w:hAnsi="Times New Roman" w:eastAsia="宋体"/>
          <w:b w:val="0"/>
          <w:sz w:val="20"/>
        </w:rPr>
        <w:t>Revenue assumptions are conservative: the free trial to paid conversion rate is estimated at 3-5%, average revenue per paying user (ARPU) at approximately RMB 30/month, and user growth follows a gradual organic trajectory rather than an aggressive exponential curve.</w:t>
      </w:r>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3118"/>
            <w:shd w:fill="D9E2F3" w:val="clear"/>
          </w:tcPr>
          <w:p>
            <w:pPr>
              <w:jc w:val="center"/>
            </w:pPr>
            <w:r/>
            <w:r>
              <w:rPr>
                <w:rFonts w:ascii="Times New Roman" w:hAnsi="Times New Roman" w:eastAsia="宋体"/>
                <w:b/>
                <w:sz w:val="20"/>
              </w:rPr>
              <w:t>Item</w:t>
            </w:r>
          </w:p>
        </w:tc>
        <w:tc>
          <w:tcPr>
            <w:tcW w:type="dxa" w:w="1134"/>
            <w:shd w:fill="D9E2F3" w:val="clear"/>
          </w:tcPr>
          <w:p>
            <w:pPr>
              <w:jc w:val="center"/>
            </w:pPr>
            <w:r/>
            <w:r>
              <w:rPr>
                <w:rFonts w:ascii="Times New Roman" w:hAnsi="Times New Roman" w:eastAsia="宋体"/>
                <w:b/>
                <w:sz w:val="20"/>
              </w:rPr>
              <w:t>Year 1</w:t>
            </w:r>
          </w:p>
        </w:tc>
        <w:tc>
          <w:tcPr>
            <w:tcW w:type="dxa" w:w="1134"/>
            <w:shd w:fill="D9E2F3" w:val="clear"/>
          </w:tcPr>
          <w:p>
            <w:pPr>
              <w:jc w:val="center"/>
            </w:pPr>
            <w:r/>
            <w:r>
              <w:rPr>
                <w:rFonts w:ascii="Times New Roman" w:hAnsi="Times New Roman" w:eastAsia="宋体"/>
                <w:b/>
                <w:sz w:val="20"/>
              </w:rPr>
              <w:t>Year 2</w:t>
            </w:r>
          </w:p>
        </w:tc>
        <w:tc>
          <w:tcPr>
            <w:tcW w:type="dxa" w:w="1134"/>
            <w:shd w:fill="D9E2F3" w:val="clear"/>
          </w:tcPr>
          <w:p>
            <w:pPr>
              <w:jc w:val="center"/>
            </w:pPr>
            <w:r/>
            <w:r>
              <w:rPr>
                <w:rFonts w:ascii="Times New Roman" w:hAnsi="Times New Roman" w:eastAsia="宋体"/>
                <w:b/>
                <w:sz w:val="20"/>
              </w:rPr>
              <w:t>Year 3</w:t>
            </w:r>
          </w:p>
        </w:tc>
        <w:tc>
          <w:tcPr>
            <w:tcW w:type="dxa" w:w="1134"/>
            <w:shd w:fill="D9E2F3" w:val="clear"/>
          </w:tcPr>
          <w:p>
            <w:pPr>
              <w:jc w:val="center"/>
            </w:pPr>
            <w:r/>
            <w:r>
              <w:rPr>
                <w:rFonts w:ascii="Times New Roman" w:hAnsi="Times New Roman" w:eastAsia="宋体"/>
                <w:b/>
                <w:sz w:val="20"/>
              </w:rPr>
              <w:t>Year 4</w:t>
            </w:r>
          </w:p>
        </w:tc>
        <w:tc>
          <w:tcPr>
            <w:tcW w:type="dxa" w:w="1134"/>
            <w:shd w:fill="D9E2F3" w:val="clear"/>
          </w:tcPr>
          <w:p>
            <w:pPr>
              <w:jc w:val="center"/>
            </w:pPr>
            <w:r/>
            <w:r>
              <w:rPr>
                <w:rFonts w:ascii="Times New Roman" w:hAnsi="Times New Roman" w:eastAsia="宋体"/>
                <w:b/>
                <w:sz w:val="20"/>
              </w:rPr>
              <w:t>Year 5</w:t>
            </w:r>
          </w:p>
        </w:tc>
      </w:tr>
      <w:tr>
        <w:tc>
          <w:tcPr>
            <w:tcW w:type="dxa" w:w="3118"/>
          </w:tcPr>
          <w:p>
            <w:pPr>
              <w:jc w:val="left"/>
            </w:pPr>
            <w:r/>
            <w:r>
              <w:rPr>
                <w:rFonts w:ascii="Times New Roman" w:hAnsi="Times New Roman" w:eastAsia="宋体"/>
                <w:b w:val="0"/>
                <w:sz w:val="20"/>
              </w:rPr>
              <w:t>Personal / Deep Companion Subscription</w:t>
            </w:r>
          </w:p>
        </w:tc>
        <w:tc>
          <w:tcPr>
            <w:tcW w:type="dxa" w:w="1134"/>
          </w:tcPr>
          <w:p>
            <w:pPr>
              <w:jc w:val="center"/>
            </w:pPr>
            <w:r/>
            <w:r>
              <w:rPr>
                <w:rFonts w:ascii="Times New Roman" w:hAnsi="Times New Roman" w:eastAsia="宋体"/>
                <w:b w:val="0"/>
                <w:sz w:val="20"/>
              </w:rPr>
              <w:t>5.50</w:t>
            </w:r>
          </w:p>
        </w:tc>
        <w:tc>
          <w:tcPr>
            <w:tcW w:type="dxa" w:w="1134"/>
          </w:tcPr>
          <w:p>
            <w:pPr>
              <w:jc w:val="center"/>
            </w:pPr>
            <w:r/>
            <w:r>
              <w:rPr>
                <w:rFonts w:ascii="Times New Roman" w:hAnsi="Times New Roman" w:eastAsia="宋体"/>
                <w:b w:val="0"/>
                <w:sz w:val="20"/>
              </w:rPr>
              <w:t>12.00</w:t>
            </w:r>
          </w:p>
        </w:tc>
        <w:tc>
          <w:tcPr>
            <w:tcW w:type="dxa" w:w="1134"/>
          </w:tcPr>
          <w:p>
            <w:pPr>
              <w:jc w:val="center"/>
            </w:pPr>
            <w:r/>
            <w:r>
              <w:rPr>
                <w:rFonts w:ascii="Times New Roman" w:hAnsi="Times New Roman" w:eastAsia="宋体"/>
                <w:b w:val="0"/>
                <w:sz w:val="20"/>
              </w:rPr>
              <w:t>22.00</w:t>
            </w:r>
          </w:p>
        </w:tc>
        <w:tc>
          <w:tcPr>
            <w:tcW w:type="dxa" w:w="1134"/>
          </w:tcPr>
          <w:p>
            <w:pPr>
              <w:jc w:val="center"/>
            </w:pPr>
            <w:r/>
            <w:r>
              <w:rPr>
                <w:rFonts w:ascii="Times New Roman" w:hAnsi="Times New Roman" w:eastAsia="宋体"/>
                <w:b w:val="0"/>
                <w:sz w:val="20"/>
              </w:rPr>
              <w:t>34.00</w:t>
            </w:r>
          </w:p>
        </w:tc>
        <w:tc>
          <w:tcPr>
            <w:tcW w:type="dxa" w:w="1134"/>
          </w:tcPr>
          <w:p>
            <w:pPr>
              <w:jc w:val="center"/>
            </w:pPr>
            <w:r/>
            <w:r>
              <w:rPr>
                <w:rFonts w:ascii="Times New Roman" w:hAnsi="Times New Roman" w:eastAsia="宋体"/>
                <w:b w:val="0"/>
                <w:sz w:val="20"/>
              </w:rPr>
              <w:t>48.00</w:t>
            </w:r>
          </w:p>
        </w:tc>
      </w:tr>
      <w:tr>
        <w:tc>
          <w:tcPr>
            <w:tcW w:type="dxa" w:w="3118"/>
          </w:tcPr>
          <w:p>
            <w:pPr>
              <w:jc w:val="left"/>
            </w:pPr>
            <w:r/>
            <w:r>
              <w:rPr>
                <w:rFonts w:ascii="Times New Roman" w:hAnsi="Times New Roman" w:eastAsia="宋体"/>
                <w:b w:val="0"/>
                <w:sz w:val="20"/>
              </w:rPr>
              <w:t>Family / Group Edition</w:t>
            </w:r>
          </w:p>
        </w:tc>
        <w:tc>
          <w:tcPr>
            <w:tcW w:type="dxa" w:w="1134"/>
          </w:tcPr>
          <w:p>
            <w:pPr>
              <w:jc w:val="center"/>
            </w:pPr>
            <w:r/>
            <w:r>
              <w:rPr>
                <w:rFonts w:ascii="Times New Roman" w:hAnsi="Times New Roman" w:eastAsia="宋体"/>
                <w:b w:val="0"/>
                <w:sz w:val="20"/>
              </w:rPr>
              <w:t>2.50</w:t>
            </w:r>
          </w:p>
        </w:tc>
        <w:tc>
          <w:tcPr>
            <w:tcW w:type="dxa" w:w="1134"/>
          </w:tcPr>
          <w:p>
            <w:pPr>
              <w:jc w:val="center"/>
            </w:pPr>
            <w:r/>
            <w:r>
              <w:rPr>
                <w:rFonts w:ascii="Times New Roman" w:hAnsi="Times New Roman" w:eastAsia="宋体"/>
                <w:b w:val="0"/>
                <w:sz w:val="20"/>
              </w:rPr>
              <w:t>5.00</w:t>
            </w:r>
          </w:p>
        </w:tc>
        <w:tc>
          <w:tcPr>
            <w:tcW w:type="dxa" w:w="1134"/>
          </w:tcPr>
          <w:p>
            <w:pPr>
              <w:jc w:val="center"/>
            </w:pPr>
            <w:r/>
            <w:r>
              <w:rPr>
                <w:rFonts w:ascii="Times New Roman" w:hAnsi="Times New Roman" w:eastAsia="宋体"/>
                <w:b w:val="0"/>
                <w:sz w:val="20"/>
              </w:rPr>
              <w:t>9.00</w:t>
            </w:r>
          </w:p>
        </w:tc>
        <w:tc>
          <w:tcPr>
            <w:tcW w:type="dxa" w:w="1134"/>
          </w:tcPr>
          <w:p>
            <w:pPr>
              <w:jc w:val="center"/>
            </w:pPr>
            <w:r/>
            <w:r>
              <w:rPr>
                <w:rFonts w:ascii="Times New Roman" w:hAnsi="Times New Roman" w:eastAsia="宋体"/>
                <w:b w:val="0"/>
                <w:sz w:val="20"/>
              </w:rPr>
              <w:t>14.00</w:t>
            </w:r>
          </w:p>
        </w:tc>
        <w:tc>
          <w:tcPr>
            <w:tcW w:type="dxa" w:w="1134"/>
          </w:tcPr>
          <w:p>
            <w:pPr>
              <w:jc w:val="center"/>
            </w:pPr>
            <w:r/>
            <w:r>
              <w:rPr>
                <w:rFonts w:ascii="Times New Roman" w:hAnsi="Times New Roman" w:eastAsia="宋体"/>
                <w:b w:val="0"/>
                <w:sz w:val="20"/>
              </w:rPr>
              <w:t>20.00</w:t>
            </w:r>
          </w:p>
        </w:tc>
      </w:tr>
      <w:tr>
        <w:tc>
          <w:tcPr>
            <w:tcW w:type="dxa" w:w="3118"/>
          </w:tcPr>
          <w:p>
            <w:pPr>
              <w:jc w:val="left"/>
            </w:pPr>
            <w:r/>
            <w:r>
              <w:rPr>
                <w:rFonts w:ascii="Times New Roman" w:hAnsi="Times New Roman" w:eastAsia="宋体"/>
                <w:b w:val="0"/>
                <w:sz w:val="20"/>
              </w:rPr>
              <w:t>Customized Commemorative Archive Service</w:t>
            </w:r>
          </w:p>
        </w:tc>
        <w:tc>
          <w:tcPr>
            <w:tcW w:type="dxa" w:w="1134"/>
          </w:tcPr>
          <w:p>
            <w:pPr>
              <w:jc w:val="center"/>
            </w:pPr>
            <w:r/>
            <w:r>
              <w:rPr>
                <w:rFonts w:ascii="Times New Roman" w:hAnsi="Times New Roman" w:eastAsia="宋体"/>
                <w:b w:val="0"/>
                <w:sz w:val="20"/>
              </w:rPr>
              <w:t>2.00</w:t>
            </w:r>
          </w:p>
        </w:tc>
        <w:tc>
          <w:tcPr>
            <w:tcW w:type="dxa" w:w="1134"/>
          </w:tcPr>
          <w:p>
            <w:pPr>
              <w:jc w:val="center"/>
            </w:pPr>
            <w:r/>
            <w:r>
              <w:rPr>
                <w:rFonts w:ascii="Times New Roman" w:hAnsi="Times New Roman" w:eastAsia="宋体"/>
                <w:b w:val="0"/>
                <w:sz w:val="20"/>
              </w:rPr>
              <w:t>4.00</w:t>
            </w:r>
          </w:p>
        </w:tc>
        <w:tc>
          <w:tcPr>
            <w:tcW w:type="dxa" w:w="1134"/>
          </w:tcPr>
          <w:p>
            <w:pPr>
              <w:jc w:val="center"/>
            </w:pPr>
            <w:r/>
            <w:r>
              <w:rPr>
                <w:rFonts w:ascii="Times New Roman" w:hAnsi="Times New Roman" w:eastAsia="宋体"/>
                <w:b w:val="0"/>
                <w:sz w:val="20"/>
              </w:rPr>
              <w:t>7.00</w:t>
            </w:r>
          </w:p>
        </w:tc>
        <w:tc>
          <w:tcPr>
            <w:tcW w:type="dxa" w:w="1134"/>
          </w:tcPr>
          <w:p>
            <w:pPr>
              <w:jc w:val="center"/>
            </w:pPr>
            <w:r/>
            <w:r>
              <w:rPr>
                <w:rFonts w:ascii="Times New Roman" w:hAnsi="Times New Roman" w:eastAsia="宋体"/>
                <w:b w:val="0"/>
                <w:sz w:val="20"/>
              </w:rPr>
              <w:t>10.00</w:t>
            </w:r>
          </w:p>
        </w:tc>
        <w:tc>
          <w:tcPr>
            <w:tcW w:type="dxa" w:w="1134"/>
          </w:tcPr>
          <w:p>
            <w:pPr>
              <w:jc w:val="center"/>
            </w:pPr>
            <w:r/>
            <w:r>
              <w:rPr>
                <w:rFonts w:ascii="Times New Roman" w:hAnsi="Times New Roman" w:eastAsia="宋体"/>
                <w:b w:val="0"/>
                <w:sz w:val="20"/>
              </w:rPr>
              <w:t>12.00</w:t>
            </w:r>
          </w:p>
        </w:tc>
      </w:tr>
      <w:tr>
        <w:tc>
          <w:tcPr>
            <w:tcW w:type="dxa" w:w="3118"/>
          </w:tcPr>
          <w:p>
            <w:pPr>
              <w:jc w:val="left"/>
            </w:pPr>
            <w:r/>
            <w:r>
              <w:rPr>
                <w:rFonts w:ascii="Times New Roman" w:hAnsi="Times New Roman" w:eastAsia="宋体"/>
                <w:b w:val="0"/>
                <w:sz w:val="20"/>
              </w:rPr>
              <w:t>Total Operating Revenue</w:t>
            </w:r>
          </w:p>
        </w:tc>
        <w:tc>
          <w:tcPr>
            <w:tcW w:type="dxa" w:w="1134"/>
          </w:tcPr>
          <w:p>
            <w:pPr>
              <w:jc w:val="center"/>
            </w:pPr>
            <w:r/>
            <w:r>
              <w:rPr>
                <w:rFonts w:ascii="Times New Roman" w:hAnsi="Times New Roman" w:eastAsia="宋体"/>
                <w:b w:val="0"/>
                <w:sz w:val="20"/>
              </w:rPr>
              <w:t>10.00</w:t>
            </w:r>
          </w:p>
        </w:tc>
        <w:tc>
          <w:tcPr>
            <w:tcW w:type="dxa" w:w="1134"/>
          </w:tcPr>
          <w:p>
            <w:pPr>
              <w:jc w:val="center"/>
            </w:pPr>
            <w:r/>
            <w:r>
              <w:rPr>
                <w:rFonts w:ascii="Times New Roman" w:hAnsi="Times New Roman" w:eastAsia="宋体"/>
                <w:b w:val="0"/>
                <w:sz w:val="20"/>
              </w:rPr>
              <w:t>21.00</w:t>
            </w:r>
          </w:p>
        </w:tc>
        <w:tc>
          <w:tcPr>
            <w:tcW w:type="dxa" w:w="1134"/>
          </w:tcPr>
          <w:p>
            <w:pPr>
              <w:jc w:val="center"/>
            </w:pPr>
            <w:r/>
            <w:r>
              <w:rPr>
                <w:rFonts w:ascii="Times New Roman" w:hAnsi="Times New Roman" w:eastAsia="宋体"/>
                <w:b w:val="0"/>
                <w:sz w:val="20"/>
              </w:rPr>
              <w:t>38.00</w:t>
            </w:r>
          </w:p>
        </w:tc>
        <w:tc>
          <w:tcPr>
            <w:tcW w:type="dxa" w:w="1134"/>
          </w:tcPr>
          <w:p>
            <w:pPr>
              <w:jc w:val="center"/>
            </w:pPr>
            <w:r/>
            <w:r>
              <w:rPr>
                <w:rFonts w:ascii="Times New Roman" w:hAnsi="Times New Roman" w:eastAsia="宋体"/>
                <w:b w:val="0"/>
                <w:sz w:val="20"/>
              </w:rPr>
              <w:t>58.00</w:t>
            </w:r>
          </w:p>
        </w:tc>
        <w:tc>
          <w:tcPr>
            <w:tcW w:type="dxa" w:w="1134"/>
          </w:tcPr>
          <w:p>
            <w:pPr>
              <w:jc w:val="center"/>
            </w:pPr>
            <w:r/>
            <w:r>
              <w:rPr>
                <w:rFonts w:ascii="Times New Roman" w:hAnsi="Times New Roman" w:eastAsia="宋体"/>
                <w:b w:val="0"/>
                <w:sz w:val="20"/>
              </w:rPr>
              <w:t>80.00</w:t>
            </w:r>
          </w:p>
        </w:tc>
      </w:tr>
    </w:tbl>
    <w:p/>
    <w:p>
      <w:pPr>
        <w:pStyle w:val="Heading2"/>
      </w:pPr>
      <w:r>
        <w:rPr>
          <w:rFonts w:ascii="Times New Roman" w:hAnsi="Times New Roman" w:eastAsia="黑体"/>
        </w:rPr>
        <w:t>6.2 VAT and Surcharge Estimation Table</w:t>
      </w:r>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3402"/>
            <w:shd w:fill="D9E2F3" w:val="clear"/>
          </w:tcPr>
          <w:p>
            <w:pPr>
              <w:jc w:val="center"/>
            </w:pPr>
            <w:r/>
            <w:r>
              <w:rPr>
                <w:rFonts w:ascii="Times New Roman" w:hAnsi="Times New Roman" w:eastAsia="宋体"/>
                <w:b/>
                <w:sz w:val="20"/>
              </w:rPr>
              <w:t>Item</w:t>
            </w:r>
          </w:p>
        </w:tc>
        <w:tc>
          <w:tcPr>
            <w:tcW w:type="dxa" w:w="1134"/>
            <w:shd w:fill="D9E2F3" w:val="clear"/>
          </w:tcPr>
          <w:p>
            <w:pPr>
              <w:jc w:val="center"/>
            </w:pPr>
            <w:r/>
            <w:r>
              <w:rPr>
                <w:rFonts w:ascii="Times New Roman" w:hAnsi="Times New Roman" w:eastAsia="宋体"/>
                <w:b/>
                <w:sz w:val="20"/>
              </w:rPr>
              <w:t>Year 1</w:t>
            </w:r>
          </w:p>
        </w:tc>
        <w:tc>
          <w:tcPr>
            <w:tcW w:type="dxa" w:w="1134"/>
            <w:shd w:fill="D9E2F3" w:val="clear"/>
          </w:tcPr>
          <w:p>
            <w:pPr>
              <w:jc w:val="center"/>
            </w:pPr>
            <w:r/>
            <w:r>
              <w:rPr>
                <w:rFonts w:ascii="Times New Roman" w:hAnsi="Times New Roman" w:eastAsia="宋体"/>
                <w:b/>
                <w:sz w:val="20"/>
              </w:rPr>
              <w:t>Year 2</w:t>
            </w:r>
          </w:p>
        </w:tc>
        <w:tc>
          <w:tcPr>
            <w:tcW w:type="dxa" w:w="1134"/>
            <w:shd w:fill="D9E2F3" w:val="clear"/>
          </w:tcPr>
          <w:p>
            <w:pPr>
              <w:jc w:val="center"/>
            </w:pPr>
            <w:r/>
            <w:r>
              <w:rPr>
                <w:rFonts w:ascii="Times New Roman" w:hAnsi="Times New Roman" w:eastAsia="宋体"/>
                <w:b/>
                <w:sz w:val="20"/>
              </w:rPr>
              <w:t>Year 3</w:t>
            </w:r>
          </w:p>
        </w:tc>
        <w:tc>
          <w:tcPr>
            <w:tcW w:type="dxa" w:w="1134"/>
            <w:shd w:fill="D9E2F3" w:val="clear"/>
          </w:tcPr>
          <w:p>
            <w:pPr>
              <w:jc w:val="center"/>
            </w:pPr>
            <w:r/>
            <w:r>
              <w:rPr>
                <w:rFonts w:ascii="Times New Roman" w:hAnsi="Times New Roman" w:eastAsia="宋体"/>
                <w:b/>
                <w:sz w:val="20"/>
              </w:rPr>
              <w:t>Year 4</w:t>
            </w:r>
          </w:p>
        </w:tc>
        <w:tc>
          <w:tcPr>
            <w:tcW w:type="dxa" w:w="1134"/>
            <w:shd w:fill="D9E2F3" w:val="clear"/>
          </w:tcPr>
          <w:p>
            <w:pPr>
              <w:jc w:val="center"/>
            </w:pPr>
            <w:r/>
            <w:r>
              <w:rPr>
                <w:rFonts w:ascii="Times New Roman" w:hAnsi="Times New Roman" w:eastAsia="宋体"/>
                <w:b/>
                <w:sz w:val="20"/>
              </w:rPr>
              <w:t>Year 5</w:t>
            </w:r>
          </w:p>
        </w:tc>
      </w:tr>
      <w:tr>
        <w:tc>
          <w:tcPr>
            <w:tcW w:type="dxa" w:w="3402"/>
          </w:tcPr>
          <w:p>
            <w:pPr>
              <w:jc w:val="left"/>
            </w:pPr>
            <w:r/>
            <w:r>
              <w:rPr>
                <w:rFonts w:ascii="Times New Roman" w:hAnsi="Times New Roman" w:eastAsia="宋体"/>
                <w:b w:val="0"/>
                <w:sz w:val="20"/>
              </w:rPr>
              <w:t>Operating Revenue (tax-inclusive basis)</w:t>
            </w:r>
          </w:p>
        </w:tc>
        <w:tc>
          <w:tcPr>
            <w:tcW w:type="dxa" w:w="1134"/>
          </w:tcPr>
          <w:p>
            <w:pPr>
              <w:jc w:val="center"/>
            </w:pPr>
            <w:r/>
            <w:r>
              <w:rPr>
                <w:rFonts w:ascii="Times New Roman" w:hAnsi="Times New Roman" w:eastAsia="宋体"/>
                <w:b w:val="0"/>
                <w:sz w:val="20"/>
              </w:rPr>
              <w:t>10.00</w:t>
            </w:r>
          </w:p>
        </w:tc>
        <w:tc>
          <w:tcPr>
            <w:tcW w:type="dxa" w:w="1134"/>
          </w:tcPr>
          <w:p>
            <w:pPr>
              <w:jc w:val="center"/>
            </w:pPr>
            <w:r/>
            <w:r>
              <w:rPr>
                <w:rFonts w:ascii="Times New Roman" w:hAnsi="Times New Roman" w:eastAsia="宋体"/>
                <w:b w:val="0"/>
                <w:sz w:val="20"/>
              </w:rPr>
              <w:t>21.00</w:t>
            </w:r>
          </w:p>
        </w:tc>
        <w:tc>
          <w:tcPr>
            <w:tcW w:type="dxa" w:w="1134"/>
          </w:tcPr>
          <w:p>
            <w:pPr>
              <w:jc w:val="center"/>
            </w:pPr>
            <w:r/>
            <w:r>
              <w:rPr>
                <w:rFonts w:ascii="Times New Roman" w:hAnsi="Times New Roman" w:eastAsia="宋体"/>
                <w:b w:val="0"/>
                <w:sz w:val="20"/>
              </w:rPr>
              <w:t>38.00</w:t>
            </w:r>
          </w:p>
        </w:tc>
        <w:tc>
          <w:tcPr>
            <w:tcW w:type="dxa" w:w="1134"/>
          </w:tcPr>
          <w:p>
            <w:pPr>
              <w:jc w:val="center"/>
            </w:pPr>
            <w:r/>
            <w:r>
              <w:rPr>
                <w:rFonts w:ascii="Times New Roman" w:hAnsi="Times New Roman" w:eastAsia="宋体"/>
                <w:b w:val="0"/>
                <w:sz w:val="20"/>
              </w:rPr>
              <w:t>58.00</w:t>
            </w:r>
          </w:p>
        </w:tc>
        <w:tc>
          <w:tcPr>
            <w:tcW w:type="dxa" w:w="1134"/>
          </w:tcPr>
          <w:p>
            <w:pPr>
              <w:jc w:val="center"/>
            </w:pPr>
            <w:r/>
            <w:r>
              <w:rPr>
                <w:rFonts w:ascii="Times New Roman" w:hAnsi="Times New Roman" w:eastAsia="宋体"/>
                <w:b w:val="0"/>
                <w:sz w:val="20"/>
              </w:rPr>
              <w:t>80.00</w:t>
            </w:r>
          </w:p>
        </w:tc>
      </w:tr>
      <w:tr>
        <w:tc>
          <w:tcPr>
            <w:tcW w:type="dxa" w:w="3402"/>
          </w:tcPr>
          <w:p>
            <w:pPr>
              <w:jc w:val="left"/>
            </w:pPr>
            <w:r/>
            <w:r>
              <w:rPr>
                <w:rFonts w:ascii="Times New Roman" w:hAnsi="Times New Roman" w:eastAsia="宋体"/>
                <w:b w:val="0"/>
                <w:sz w:val="20"/>
              </w:rPr>
              <w:t>VAT Payable (6%)</w:t>
            </w:r>
          </w:p>
        </w:tc>
        <w:tc>
          <w:tcPr>
            <w:tcW w:type="dxa" w:w="1134"/>
          </w:tcPr>
          <w:p>
            <w:pPr>
              <w:jc w:val="center"/>
            </w:pPr>
            <w:r/>
            <w:r>
              <w:rPr>
                <w:rFonts w:ascii="Times New Roman" w:hAnsi="Times New Roman" w:eastAsia="宋体"/>
                <w:b w:val="0"/>
                <w:sz w:val="20"/>
              </w:rPr>
              <w:t>0.60</w:t>
            </w:r>
          </w:p>
        </w:tc>
        <w:tc>
          <w:tcPr>
            <w:tcW w:type="dxa" w:w="1134"/>
          </w:tcPr>
          <w:p>
            <w:pPr>
              <w:jc w:val="center"/>
            </w:pPr>
            <w:r/>
            <w:r>
              <w:rPr>
                <w:rFonts w:ascii="Times New Roman" w:hAnsi="Times New Roman" w:eastAsia="宋体"/>
                <w:b w:val="0"/>
                <w:sz w:val="20"/>
              </w:rPr>
              <w:t>1.26</w:t>
            </w:r>
          </w:p>
        </w:tc>
        <w:tc>
          <w:tcPr>
            <w:tcW w:type="dxa" w:w="1134"/>
          </w:tcPr>
          <w:p>
            <w:pPr>
              <w:jc w:val="center"/>
            </w:pPr>
            <w:r/>
            <w:r>
              <w:rPr>
                <w:rFonts w:ascii="Times New Roman" w:hAnsi="Times New Roman" w:eastAsia="宋体"/>
                <w:b w:val="0"/>
                <w:sz w:val="20"/>
              </w:rPr>
              <w:t>2.28</w:t>
            </w:r>
          </w:p>
        </w:tc>
        <w:tc>
          <w:tcPr>
            <w:tcW w:type="dxa" w:w="1134"/>
          </w:tcPr>
          <w:p>
            <w:pPr>
              <w:jc w:val="center"/>
            </w:pPr>
            <w:r/>
            <w:r>
              <w:rPr>
                <w:rFonts w:ascii="Times New Roman" w:hAnsi="Times New Roman" w:eastAsia="宋体"/>
                <w:b w:val="0"/>
                <w:sz w:val="20"/>
              </w:rPr>
              <w:t>3.48</w:t>
            </w:r>
          </w:p>
        </w:tc>
        <w:tc>
          <w:tcPr>
            <w:tcW w:type="dxa" w:w="1134"/>
          </w:tcPr>
          <w:p>
            <w:pPr>
              <w:jc w:val="center"/>
            </w:pPr>
            <w:r/>
            <w:r>
              <w:rPr>
                <w:rFonts w:ascii="Times New Roman" w:hAnsi="Times New Roman" w:eastAsia="宋体"/>
                <w:b w:val="0"/>
                <w:sz w:val="20"/>
              </w:rPr>
              <w:t>4.80</w:t>
            </w:r>
          </w:p>
        </w:tc>
      </w:tr>
      <w:tr>
        <w:tc>
          <w:tcPr>
            <w:tcW w:type="dxa" w:w="3402"/>
          </w:tcPr>
          <w:p>
            <w:pPr>
              <w:jc w:val="left"/>
            </w:pPr>
            <w:r/>
            <w:r>
              <w:rPr>
                <w:rFonts w:ascii="Times New Roman" w:hAnsi="Times New Roman" w:eastAsia="宋体"/>
                <w:b w:val="0"/>
                <w:sz w:val="20"/>
              </w:rPr>
              <w:t>Urban Maintenance &amp; Construction Tax (7% of VAT)</w:t>
            </w:r>
          </w:p>
        </w:tc>
        <w:tc>
          <w:tcPr>
            <w:tcW w:type="dxa" w:w="1134"/>
          </w:tcPr>
          <w:p>
            <w:pPr>
              <w:jc w:val="center"/>
            </w:pPr>
            <w:r/>
            <w:r>
              <w:rPr>
                <w:rFonts w:ascii="Times New Roman" w:hAnsi="Times New Roman" w:eastAsia="宋体"/>
                <w:b w:val="0"/>
                <w:sz w:val="20"/>
              </w:rPr>
              <w:t>0.04</w:t>
            </w:r>
          </w:p>
        </w:tc>
        <w:tc>
          <w:tcPr>
            <w:tcW w:type="dxa" w:w="1134"/>
          </w:tcPr>
          <w:p>
            <w:pPr>
              <w:jc w:val="center"/>
            </w:pPr>
            <w:r/>
            <w:r>
              <w:rPr>
                <w:rFonts w:ascii="Times New Roman" w:hAnsi="Times New Roman" w:eastAsia="宋体"/>
                <w:b w:val="0"/>
                <w:sz w:val="20"/>
              </w:rPr>
              <w:t>0.09</w:t>
            </w:r>
          </w:p>
        </w:tc>
        <w:tc>
          <w:tcPr>
            <w:tcW w:type="dxa" w:w="1134"/>
          </w:tcPr>
          <w:p>
            <w:pPr>
              <w:jc w:val="center"/>
            </w:pPr>
            <w:r/>
            <w:r>
              <w:rPr>
                <w:rFonts w:ascii="Times New Roman" w:hAnsi="Times New Roman" w:eastAsia="宋体"/>
                <w:b w:val="0"/>
                <w:sz w:val="20"/>
              </w:rPr>
              <w:t>0.16</w:t>
            </w:r>
          </w:p>
        </w:tc>
        <w:tc>
          <w:tcPr>
            <w:tcW w:type="dxa" w:w="1134"/>
          </w:tcPr>
          <w:p>
            <w:pPr>
              <w:jc w:val="center"/>
            </w:pPr>
            <w:r/>
            <w:r>
              <w:rPr>
                <w:rFonts w:ascii="Times New Roman" w:hAnsi="Times New Roman" w:eastAsia="宋体"/>
                <w:b w:val="0"/>
                <w:sz w:val="20"/>
              </w:rPr>
              <w:t>0.24</w:t>
            </w:r>
          </w:p>
        </w:tc>
        <w:tc>
          <w:tcPr>
            <w:tcW w:type="dxa" w:w="1134"/>
          </w:tcPr>
          <w:p>
            <w:pPr>
              <w:jc w:val="center"/>
            </w:pPr>
            <w:r/>
            <w:r>
              <w:rPr>
                <w:rFonts w:ascii="Times New Roman" w:hAnsi="Times New Roman" w:eastAsia="宋体"/>
                <w:b w:val="0"/>
                <w:sz w:val="20"/>
              </w:rPr>
              <w:t>0.34</w:t>
            </w:r>
          </w:p>
        </w:tc>
      </w:tr>
      <w:tr>
        <w:tc>
          <w:tcPr>
            <w:tcW w:type="dxa" w:w="3402"/>
          </w:tcPr>
          <w:p>
            <w:pPr>
              <w:jc w:val="left"/>
            </w:pPr>
            <w:r/>
            <w:r>
              <w:rPr>
                <w:rFonts w:ascii="Times New Roman" w:hAnsi="Times New Roman" w:eastAsia="宋体"/>
                <w:b w:val="0"/>
                <w:sz w:val="20"/>
              </w:rPr>
              <w:t>Education Surcharge (3% of VAT)</w:t>
            </w:r>
          </w:p>
        </w:tc>
        <w:tc>
          <w:tcPr>
            <w:tcW w:type="dxa" w:w="1134"/>
          </w:tcPr>
          <w:p>
            <w:pPr>
              <w:jc w:val="center"/>
            </w:pPr>
            <w:r/>
            <w:r>
              <w:rPr>
                <w:rFonts w:ascii="Times New Roman" w:hAnsi="Times New Roman" w:eastAsia="宋体"/>
                <w:b w:val="0"/>
                <w:sz w:val="20"/>
              </w:rPr>
              <w:t>0.02</w:t>
            </w:r>
          </w:p>
        </w:tc>
        <w:tc>
          <w:tcPr>
            <w:tcW w:type="dxa" w:w="1134"/>
          </w:tcPr>
          <w:p>
            <w:pPr>
              <w:jc w:val="center"/>
            </w:pPr>
            <w:r/>
            <w:r>
              <w:rPr>
                <w:rFonts w:ascii="Times New Roman" w:hAnsi="Times New Roman" w:eastAsia="宋体"/>
                <w:b w:val="0"/>
                <w:sz w:val="20"/>
              </w:rPr>
              <w:t>0.04</w:t>
            </w:r>
          </w:p>
        </w:tc>
        <w:tc>
          <w:tcPr>
            <w:tcW w:type="dxa" w:w="1134"/>
          </w:tcPr>
          <w:p>
            <w:pPr>
              <w:jc w:val="center"/>
            </w:pPr>
            <w:r/>
            <w:r>
              <w:rPr>
                <w:rFonts w:ascii="Times New Roman" w:hAnsi="Times New Roman" w:eastAsia="宋体"/>
                <w:b w:val="0"/>
                <w:sz w:val="20"/>
              </w:rPr>
              <w:t>0.07</w:t>
            </w:r>
          </w:p>
        </w:tc>
        <w:tc>
          <w:tcPr>
            <w:tcW w:type="dxa" w:w="1134"/>
          </w:tcPr>
          <w:p>
            <w:pPr>
              <w:jc w:val="center"/>
            </w:pPr>
            <w:r/>
            <w:r>
              <w:rPr>
                <w:rFonts w:ascii="Times New Roman" w:hAnsi="Times New Roman" w:eastAsia="宋体"/>
                <w:b w:val="0"/>
                <w:sz w:val="20"/>
              </w:rPr>
              <w:t>0.10</w:t>
            </w:r>
          </w:p>
        </w:tc>
        <w:tc>
          <w:tcPr>
            <w:tcW w:type="dxa" w:w="1134"/>
          </w:tcPr>
          <w:p>
            <w:pPr>
              <w:jc w:val="center"/>
            </w:pPr>
            <w:r/>
            <w:r>
              <w:rPr>
                <w:rFonts w:ascii="Times New Roman" w:hAnsi="Times New Roman" w:eastAsia="宋体"/>
                <w:b w:val="0"/>
                <w:sz w:val="20"/>
              </w:rPr>
              <w:t>0.14</w:t>
            </w:r>
          </w:p>
        </w:tc>
      </w:tr>
      <w:tr>
        <w:tc>
          <w:tcPr>
            <w:tcW w:type="dxa" w:w="3402"/>
          </w:tcPr>
          <w:p>
            <w:pPr>
              <w:jc w:val="left"/>
            </w:pPr>
            <w:r/>
            <w:r>
              <w:rPr>
                <w:rFonts w:ascii="Times New Roman" w:hAnsi="Times New Roman" w:eastAsia="宋体"/>
                <w:b w:val="0"/>
                <w:sz w:val="20"/>
              </w:rPr>
              <w:t>Local Education Surcharge (2% of VAT)</w:t>
            </w:r>
          </w:p>
        </w:tc>
        <w:tc>
          <w:tcPr>
            <w:tcW w:type="dxa" w:w="1134"/>
          </w:tcPr>
          <w:p>
            <w:pPr>
              <w:jc w:val="center"/>
            </w:pPr>
            <w:r/>
            <w:r>
              <w:rPr>
                <w:rFonts w:ascii="Times New Roman" w:hAnsi="Times New Roman" w:eastAsia="宋体"/>
                <w:b w:val="0"/>
                <w:sz w:val="20"/>
              </w:rPr>
              <w:t>0.01</w:t>
            </w:r>
          </w:p>
        </w:tc>
        <w:tc>
          <w:tcPr>
            <w:tcW w:type="dxa" w:w="1134"/>
          </w:tcPr>
          <w:p>
            <w:pPr>
              <w:jc w:val="center"/>
            </w:pPr>
            <w:r/>
            <w:r>
              <w:rPr>
                <w:rFonts w:ascii="Times New Roman" w:hAnsi="Times New Roman" w:eastAsia="宋体"/>
                <w:b w:val="0"/>
                <w:sz w:val="20"/>
              </w:rPr>
              <w:t>0.03</w:t>
            </w:r>
          </w:p>
        </w:tc>
        <w:tc>
          <w:tcPr>
            <w:tcW w:type="dxa" w:w="1134"/>
          </w:tcPr>
          <w:p>
            <w:pPr>
              <w:jc w:val="center"/>
            </w:pPr>
            <w:r/>
            <w:r>
              <w:rPr>
                <w:rFonts w:ascii="Times New Roman" w:hAnsi="Times New Roman" w:eastAsia="宋体"/>
                <w:b w:val="0"/>
                <w:sz w:val="20"/>
              </w:rPr>
              <w:t>0.05</w:t>
            </w:r>
          </w:p>
        </w:tc>
        <w:tc>
          <w:tcPr>
            <w:tcW w:type="dxa" w:w="1134"/>
          </w:tcPr>
          <w:p>
            <w:pPr>
              <w:jc w:val="center"/>
            </w:pPr>
            <w:r/>
            <w:r>
              <w:rPr>
                <w:rFonts w:ascii="Times New Roman" w:hAnsi="Times New Roman" w:eastAsia="宋体"/>
                <w:b w:val="0"/>
                <w:sz w:val="20"/>
              </w:rPr>
              <w:t>0.07</w:t>
            </w:r>
          </w:p>
        </w:tc>
        <w:tc>
          <w:tcPr>
            <w:tcW w:type="dxa" w:w="1134"/>
          </w:tcPr>
          <w:p>
            <w:pPr>
              <w:jc w:val="center"/>
            </w:pPr>
            <w:r/>
            <w:r>
              <w:rPr>
                <w:rFonts w:ascii="Times New Roman" w:hAnsi="Times New Roman" w:eastAsia="宋体"/>
                <w:b w:val="0"/>
                <w:sz w:val="20"/>
              </w:rPr>
              <w:t>0.10</w:t>
            </w:r>
          </w:p>
        </w:tc>
      </w:tr>
      <w:tr>
        <w:tc>
          <w:tcPr>
            <w:tcW w:type="dxa" w:w="3402"/>
          </w:tcPr>
          <w:p>
            <w:pPr>
              <w:jc w:val="left"/>
            </w:pPr>
            <w:r/>
            <w:r>
              <w:rPr>
                <w:rFonts w:ascii="Times New Roman" w:hAnsi="Times New Roman" w:eastAsia="宋体"/>
                <w:b w:val="0"/>
                <w:sz w:val="20"/>
              </w:rPr>
              <w:t>Total Surcharges (12% of VAT)</w:t>
            </w:r>
          </w:p>
        </w:tc>
        <w:tc>
          <w:tcPr>
            <w:tcW w:type="dxa" w:w="1134"/>
          </w:tcPr>
          <w:p>
            <w:pPr>
              <w:jc w:val="center"/>
            </w:pPr>
            <w:r/>
            <w:r>
              <w:rPr>
                <w:rFonts w:ascii="Times New Roman" w:hAnsi="Times New Roman" w:eastAsia="宋体"/>
                <w:b w:val="0"/>
                <w:sz w:val="20"/>
              </w:rPr>
              <w:t>0.07</w:t>
            </w:r>
          </w:p>
        </w:tc>
        <w:tc>
          <w:tcPr>
            <w:tcW w:type="dxa" w:w="1134"/>
          </w:tcPr>
          <w:p>
            <w:pPr>
              <w:jc w:val="center"/>
            </w:pPr>
            <w:r/>
            <w:r>
              <w:rPr>
                <w:rFonts w:ascii="Times New Roman" w:hAnsi="Times New Roman" w:eastAsia="宋体"/>
                <w:b w:val="0"/>
                <w:sz w:val="20"/>
              </w:rPr>
              <w:t>0.15</w:t>
            </w:r>
          </w:p>
        </w:tc>
        <w:tc>
          <w:tcPr>
            <w:tcW w:type="dxa" w:w="1134"/>
          </w:tcPr>
          <w:p>
            <w:pPr>
              <w:jc w:val="center"/>
            </w:pPr>
            <w:r/>
            <w:r>
              <w:rPr>
                <w:rFonts w:ascii="Times New Roman" w:hAnsi="Times New Roman" w:eastAsia="宋体"/>
                <w:b w:val="0"/>
                <w:sz w:val="20"/>
              </w:rPr>
              <w:t>0.27</w:t>
            </w:r>
          </w:p>
        </w:tc>
        <w:tc>
          <w:tcPr>
            <w:tcW w:type="dxa" w:w="1134"/>
          </w:tcPr>
          <w:p>
            <w:pPr>
              <w:jc w:val="center"/>
            </w:pPr>
            <w:r/>
            <w:r>
              <w:rPr>
                <w:rFonts w:ascii="Times New Roman" w:hAnsi="Times New Roman" w:eastAsia="宋体"/>
                <w:b w:val="0"/>
                <w:sz w:val="20"/>
              </w:rPr>
              <w:t>0.42</w:t>
            </w:r>
          </w:p>
        </w:tc>
        <w:tc>
          <w:tcPr>
            <w:tcW w:type="dxa" w:w="1134"/>
          </w:tcPr>
          <w:p>
            <w:pPr>
              <w:jc w:val="center"/>
            </w:pPr>
            <w:r/>
            <w:r>
              <w:rPr>
                <w:rFonts w:ascii="Times New Roman" w:hAnsi="Times New Roman" w:eastAsia="宋体"/>
                <w:b w:val="0"/>
                <w:sz w:val="20"/>
              </w:rPr>
              <w:t>0.58</w:t>
            </w:r>
          </w:p>
        </w:tc>
      </w:tr>
    </w:tbl>
    <w:p/>
    <w:p>
      <w:pPr>
        <w:pStyle w:val="Heading2"/>
      </w:pPr>
      <w:r>
        <w:rPr>
          <w:rFonts w:ascii="Times New Roman" w:hAnsi="Times New Roman" w:eastAsia="黑体"/>
        </w:rPr>
        <w:t>6.3 Total Cost and Expense Estimation Table</w:t>
      </w:r>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3402"/>
            <w:shd w:fill="D9E2F3" w:val="clear"/>
          </w:tcPr>
          <w:p>
            <w:pPr>
              <w:jc w:val="center"/>
            </w:pPr>
            <w:r/>
            <w:r>
              <w:rPr>
                <w:rFonts w:ascii="Times New Roman" w:hAnsi="Times New Roman" w:eastAsia="宋体"/>
                <w:b/>
                <w:sz w:val="20"/>
              </w:rPr>
              <w:t>Cost Item</w:t>
            </w:r>
          </w:p>
        </w:tc>
        <w:tc>
          <w:tcPr>
            <w:tcW w:type="dxa" w:w="1134"/>
            <w:shd w:fill="D9E2F3" w:val="clear"/>
          </w:tcPr>
          <w:p>
            <w:pPr>
              <w:jc w:val="center"/>
            </w:pPr>
            <w:r/>
            <w:r>
              <w:rPr>
                <w:rFonts w:ascii="Times New Roman" w:hAnsi="Times New Roman" w:eastAsia="宋体"/>
                <w:b/>
                <w:sz w:val="20"/>
              </w:rPr>
              <w:t>Year 1</w:t>
            </w:r>
          </w:p>
        </w:tc>
        <w:tc>
          <w:tcPr>
            <w:tcW w:type="dxa" w:w="1134"/>
            <w:shd w:fill="D9E2F3" w:val="clear"/>
          </w:tcPr>
          <w:p>
            <w:pPr>
              <w:jc w:val="center"/>
            </w:pPr>
            <w:r/>
            <w:r>
              <w:rPr>
                <w:rFonts w:ascii="Times New Roman" w:hAnsi="Times New Roman" w:eastAsia="宋体"/>
                <w:b/>
                <w:sz w:val="20"/>
              </w:rPr>
              <w:t>Year 2</w:t>
            </w:r>
          </w:p>
        </w:tc>
        <w:tc>
          <w:tcPr>
            <w:tcW w:type="dxa" w:w="1134"/>
            <w:shd w:fill="D9E2F3" w:val="clear"/>
          </w:tcPr>
          <w:p>
            <w:pPr>
              <w:jc w:val="center"/>
            </w:pPr>
            <w:r/>
            <w:r>
              <w:rPr>
                <w:rFonts w:ascii="Times New Roman" w:hAnsi="Times New Roman" w:eastAsia="宋体"/>
                <w:b/>
                <w:sz w:val="20"/>
              </w:rPr>
              <w:t>Year 3</w:t>
            </w:r>
          </w:p>
        </w:tc>
        <w:tc>
          <w:tcPr>
            <w:tcW w:type="dxa" w:w="1134"/>
            <w:shd w:fill="D9E2F3" w:val="clear"/>
          </w:tcPr>
          <w:p>
            <w:pPr>
              <w:jc w:val="center"/>
            </w:pPr>
            <w:r/>
            <w:r>
              <w:rPr>
                <w:rFonts w:ascii="Times New Roman" w:hAnsi="Times New Roman" w:eastAsia="宋体"/>
                <w:b/>
                <w:sz w:val="20"/>
              </w:rPr>
              <w:t>Year 4</w:t>
            </w:r>
          </w:p>
        </w:tc>
        <w:tc>
          <w:tcPr>
            <w:tcW w:type="dxa" w:w="1134"/>
            <w:shd w:fill="D9E2F3" w:val="clear"/>
          </w:tcPr>
          <w:p>
            <w:pPr>
              <w:jc w:val="center"/>
            </w:pPr>
            <w:r/>
            <w:r>
              <w:rPr>
                <w:rFonts w:ascii="Times New Roman" w:hAnsi="Times New Roman" w:eastAsia="宋体"/>
                <w:b/>
                <w:sz w:val="20"/>
              </w:rPr>
              <w:t>Year 5</w:t>
            </w:r>
          </w:p>
        </w:tc>
      </w:tr>
      <w:tr>
        <w:tc>
          <w:tcPr>
            <w:tcW w:type="dxa" w:w="3402"/>
          </w:tcPr>
          <w:p>
            <w:pPr>
              <w:jc w:val="left"/>
            </w:pPr>
            <w:r/>
            <w:r>
              <w:rPr>
                <w:rFonts w:ascii="Times New Roman" w:hAnsi="Times New Roman" w:eastAsia="宋体"/>
                <w:b w:val="0"/>
                <w:sz w:val="20"/>
              </w:rPr>
              <w:t>Cloud Resources and Model API Cost</w:t>
            </w:r>
          </w:p>
        </w:tc>
        <w:tc>
          <w:tcPr>
            <w:tcW w:type="dxa" w:w="1134"/>
          </w:tcPr>
          <w:p>
            <w:pPr>
              <w:jc w:val="center"/>
            </w:pPr>
            <w:r/>
            <w:r>
              <w:rPr>
                <w:rFonts w:ascii="Times New Roman" w:hAnsi="Times New Roman" w:eastAsia="宋体"/>
                <w:b w:val="0"/>
                <w:sz w:val="20"/>
              </w:rPr>
              <w:t>2.50</w:t>
            </w:r>
          </w:p>
        </w:tc>
        <w:tc>
          <w:tcPr>
            <w:tcW w:type="dxa" w:w="1134"/>
          </w:tcPr>
          <w:p>
            <w:pPr>
              <w:jc w:val="center"/>
            </w:pPr>
            <w:r/>
            <w:r>
              <w:rPr>
                <w:rFonts w:ascii="Times New Roman" w:hAnsi="Times New Roman" w:eastAsia="宋体"/>
                <w:b w:val="0"/>
                <w:sz w:val="20"/>
              </w:rPr>
              <w:t>4.20</w:t>
            </w:r>
          </w:p>
        </w:tc>
        <w:tc>
          <w:tcPr>
            <w:tcW w:type="dxa" w:w="1134"/>
          </w:tcPr>
          <w:p>
            <w:pPr>
              <w:jc w:val="center"/>
            </w:pPr>
            <w:r/>
            <w:r>
              <w:rPr>
                <w:rFonts w:ascii="Times New Roman" w:hAnsi="Times New Roman" w:eastAsia="宋体"/>
                <w:b w:val="0"/>
                <w:sz w:val="20"/>
              </w:rPr>
              <w:t>7.00</w:t>
            </w:r>
          </w:p>
        </w:tc>
        <w:tc>
          <w:tcPr>
            <w:tcW w:type="dxa" w:w="1134"/>
          </w:tcPr>
          <w:p>
            <w:pPr>
              <w:jc w:val="center"/>
            </w:pPr>
            <w:r/>
            <w:r>
              <w:rPr>
                <w:rFonts w:ascii="Times New Roman" w:hAnsi="Times New Roman" w:eastAsia="宋体"/>
                <w:b w:val="0"/>
                <w:sz w:val="20"/>
              </w:rPr>
              <w:t>10.00</w:t>
            </w:r>
          </w:p>
        </w:tc>
        <w:tc>
          <w:tcPr>
            <w:tcW w:type="dxa" w:w="1134"/>
          </w:tcPr>
          <w:p>
            <w:pPr>
              <w:jc w:val="center"/>
            </w:pPr>
            <w:r/>
            <w:r>
              <w:rPr>
                <w:rFonts w:ascii="Times New Roman" w:hAnsi="Times New Roman" w:eastAsia="宋体"/>
                <w:b w:val="0"/>
                <w:sz w:val="20"/>
              </w:rPr>
              <w:t>14.00</w:t>
            </w:r>
          </w:p>
        </w:tc>
      </w:tr>
      <w:tr>
        <w:tc>
          <w:tcPr>
            <w:tcW w:type="dxa" w:w="3402"/>
          </w:tcPr>
          <w:p>
            <w:pPr>
              <w:jc w:val="left"/>
            </w:pPr>
            <w:r/>
            <w:r>
              <w:rPr>
                <w:rFonts w:ascii="Times New Roman" w:hAnsi="Times New Roman" w:eastAsia="宋体"/>
                <w:b w:val="0"/>
                <w:sz w:val="20"/>
              </w:rPr>
              <w:t>Operations, Maintenance, and User Support</w:t>
            </w:r>
          </w:p>
        </w:tc>
        <w:tc>
          <w:tcPr>
            <w:tcW w:type="dxa" w:w="1134"/>
          </w:tcPr>
          <w:p>
            <w:pPr>
              <w:jc w:val="center"/>
            </w:pPr>
            <w:r/>
            <w:r>
              <w:rPr>
                <w:rFonts w:ascii="Times New Roman" w:hAnsi="Times New Roman" w:eastAsia="宋体"/>
                <w:b w:val="0"/>
                <w:sz w:val="20"/>
              </w:rPr>
              <w:t>2.00</w:t>
            </w:r>
          </w:p>
        </w:tc>
        <w:tc>
          <w:tcPr>
            <w:tcW w:type="dxa" w:w="1134"/>
          </w:tcPr>
          <w:p>
            <w:pPr>
              <w:jc w:val="center"/>
            </w:pPr>
            <w:r/>
            <w:r>
              <w:rPr>
                <w:rFonts w:ascii="Times New Roman" w:hAnsi="Times New Roman" w:eastAsia="宋体"/>
                <w:b w:val="0"/>
                <w:sz w:val="20"/>
              </w:rPr>
              <w:t>3.50</w:t>
            </w:r>
          </w:p>
        </w:tc>
        <w:tc>
          <w:tcPr>
            <w:tcW w:type="dxa" w:w="1134"/>
          </w:tcPr>
          <w:p>
            <w:pPr>
              <w:jc w:val="center"/>
            </w:pPr>
            <w:r/>
            <w:r>
              <w:rPr>
                <w:rFonts w:ascii="Times New Roman" w:hAnsi="Times New Roman" w:eastAsia="宋体"/>
                <w:b w:val="0"/>
                <w:sz w:val="20"/>
              </w:rPr>
              <w:t>5.50</w:t>
            </w:r>
          </w:p>
        </w:tc>
        <w:tc>
          <w:tcPr>
            <w:tcW w:type="dxa" w:w="1134"/>
          </w:tcPr>
          <w:p>
            <w:pPr>
              <w:jc w:val="center"/>
            </w:pPr>
            <w:r/>
            <w:r>
              <w:rPr>
                <w:rFonts w:ascii="Times New Roman" w:hAnsi="Times New Roman" w:eastAsia="宋体"/>
                <w:b w:val="0"/>
                <w:sz w:val="20"/>
              </w:rPr>
              <w:t>8.00</w:t>
            </w:r>
          </w:p>
        </w:tc>
        <w:tc>
          <w:tcPr>
            <w:tcW w:type="dxa" w:w="1134"/>
          </w:tcPr>
          <w:p>
            <w:pPr>
              <w:jc w:val="center"/>
            </w:pPr>
            <w:r/>
            <w:r>
              <w:rPr>
                <w:rFonts w:ascii="Times New Roman" w:hAnsi="Times New Roman" w:eastAsia="宋体"/>
                <w:b w:val="0"/>
                <w:sz w:val="20"/>
              </w:rPr>
              <w:t>10.00</w:t>
            </w:r>
          </w:p>
        </w:tc>
      </w:tr>
      <w:tr>
        <w:tc>
          <w:tcPr>
            <w:tcW w:type="dxa" w:w="3402"/>
          </w:tcPr>
          <w:p>
            <w:pPr>
              <w:jc w:val="left"/>
            </w:pPr>
            <w:r/>
            <w:r>
              <w:rPr>
                <w:rFonts w:ascii="Times New Roman" w:hAnsi="Times New Roman" w:eastAsia="宋体"/>
                <w:b w:val="0"/>
                <w:sz w:val="20"/>
              </w:rPr>
              <w:t>Seed-User Promotion and Content Organization</w:t>
            </w:r>
          </w:p>
        </w:tc>
        <w:tc>
          <w:tcPr>
            <w:tcW w:type="dxa" w:w="1134"/>
          </w:tcPr>
          <w:p>
            <w:pPr>
              <w:jc w:val="center"/>
            </w:pPr>
            <w:r/>
            <w:r>
              <w:rPr>
                <w:rFonts w:ascii="Times New Roman" w:hAnsi="Times New Roman" w:eastAsia="宋体"/>
                <w:b w:val="0"/>
                <w:sz w:val="20"/>
              </w:rPr>
              <w:t>1.50</w:t>
            </w:r>
          </w:p>
        </w:tc>
        <w:tc>
          <w:tcPr>
            <w:tcW w:type="dxa" w:w="1134"/>
          </w:tcPr>
          <w:p>
            <w:pPr>
              <w:jc w:val="center"/>
            </w:pPr>
            <w:r/>
            <w:r>
              <w:rPr>
                <w:rFonts w:ascii="Times New Roman" w:hAnsi="Times New Roman" w:eastAsia="宋体"/>
                <w:b w:val="0"/>
                <w:sz w:val="20"/>
              </w:rPr>
              <w:t>2.50</w:t>
            </w:r>
          </w:p>
        </w:tc>
        <w:tc>
          <w:tcPr>
            <w:tcW w:type="dxa" w:w="1134"/>
          </w:tcPr>
          <w:p>
            <w:pPr>
              <w:jc w:val="center"/>
            </w:pPr>
            <w:r/>
            <w:r>
              <w:rPr>
                <w:rFonts w:ascii="Times New Roman" w:hAnsi="Times New Roman" w:eastAsia="宋体"/>
                <w:b w:val="0"/>
                <w:sz w:val="20"/>
              </w:rPr>
              <w:t>4.50</w:t>
            </w:r>
          </w:p>
        </w:tc>
        <w:tc>
          <w:tcPr>
            <w:tcW w:type="dxa" w:w="1134"/>
          </w:tcPr>
          <w:p>
            <w:pPr>
              <w:jc w:val="center"/>
            </w:pPr>
            <w:r/>
            <w:r>
              <w:rPr>
                <w:rFonts w:ascii="Times New Roman" w:hAnsi="Times New Roman" w:eastAsia="宋体"/>
                <w:b w:val="0"/>
                <w:sz w:val="20"/>
              </w:rPr>
              <w:t>6.50</w:t>
            </w:r>
          </w:p>
        </w:tc>
        <w:tc>
          <w:tcPr>
            <w:tcW w:type="dxa" w:w="1134"/>
          </w:tcPr>
          <w:p>
            <w:pPr>
              <w:jc w:val="center"/>
            </w:pPr>
            <w:r/>
            <w:r>
              <w:rPr>
                <w:rFonts w:ascii="Times New Roman" w:hAnsi="Times New Roman" w:eastAsia="宋体"/>
                <w:b w:val="0"/>
                <w:sz w:val="20"/>
              </w:rPr>
              <w:t>8.00</w:t>
            </w:r>
          </w:p>
        </w:tc>
      </w:tr>
      <w:tr>
        <w:tc>
          <w:tcPr>
            <w:tcW w:type="dxa" w:w="3402"/>
          </w:tcPr>
          <w:p>
            <w:pPr>
              <w:jc w:val="left"/>
            </w:pPr>
            <w:r/>
            <w:r>
              <w:rPr>
                <w:rFonts w:ascii="Times New Roman" w:hAnsi="Times New Roman" w:eastAsia="宋体"/>
                <w:b w:val="0"/>
                <w:sz w:val="20"/>
              </w:rPr>
              <w:t>Management, Compliance, and Office Expenses</w:t>
            </w:r>
          </w:p>
        </w:tc>
        <w:tc>
          <w:tcPr>
            <w:tcW w:type="dxa" w:w="1134"/>
          </w:tcPr>
          <w:p>
            <w:pPr>
              <w:jc w:val="center"/>
            </w:pPr>
            <w:r/>
            <w:r>
              <w:rPr>
                <w:rFonts w:ascii="Times New Roman" w:hAnsi="Times New Roman" w:eastAsia="宋体"/>
                <w:b w:val="0"/>
                <w:sz w:val="20"/>
              </w:rPr>
              <w:t>0.80</w:t>
            </w:r>
          </w:p>
        </w:tc>
        <w:tc>
          <w:tcPr>
            <w:tcW w:type="dxa" w:w="1134"/>
          </w:tcPr>
          <w:p>
            <w:pPr>
              <w:jc w:val="center"/>
            </w:pPr>
            <w:r/>
            <w:r>
              <w:rPr>
                <w:rFonts w:ascii="Times New Roman" w:hAnsi="Times New Roman" w:eastAsia="宋体"/>
                <w:b w:val="0"/>
                <w:sz w:val="20"/>
              </w:rPr>
              <w:t>1.50</w:t>
            </w:r>
          </w:p>
        </w:tc>
        <w:tc>
          <w:tcPr>
            <w:tcW w:type="dxa" w:w="1134"/>
          </w:tcPr>
          <w:p>
            <w:pPr>
              <w:jc w:val="center"/>
            </w:pPr>
            <w:r/>
            <w:r>
              <w:rPr>
                <w:rFonts w:ascii="Times New Roman" w:hAnsi="Times New Roman" w:eastAsia="宋体"/>
                <w:b w:val="0"/>
                <w:sz w:val="20"/>
              </w:rPr>
              <w:t>2.50</w:t>
            </w:r>
          </w:p>
        </w:tc>
        <w:tc>
          <w:tcPr>
            <w:tcW w:type="dxa" w:w="1134"/>
          </w:tcPr>
          <w:p>
            <w:pPr>
              <w:jc w:val="center"/>
            </w:pPr>
            <w:r/>
            <w:r>
              <w:rPr>
                <w:rFonts w:ascii="Times New Roman" w:hAnsi="Times New Roman" w:eastAsia="宋体"/>
                <w:b w:val="0"/>
                <w:sz w:val="20"/>
              </w:rPr>
              <w:t>4.00</w:t>
            </w:r>
          </w:p>
        </w:tc>
        <w:tc>
          <w:tcPr>
            <w:tcW w:type="dxa" w:w="1134"/>
          </w:tcPr>
          <w:p>
            <w:pPr>
              <w:jc w:val="center"/>
            </w:pPr>
            <w:r/>
            <w:r>
              <w:rPr>
                <w:rFonts w:ascii="Times New Roman" w:hAnsi="Times New Roman" w:eastAsia="宋体"/>
                <w:b w:val="0"/>
                <w:sz w:val="20"/>
              </w:rPr>
              <w:t>5.50</w:t>
            </w:r>
          </w:p>
        </w:tc>
      </w:tr>
      <w:tr>
        <w:tc>
          <w:tcPr>
            <w:tcW w:type="dxa" w:w="3402"/>
          </w:tcPr>
          <w:p>
            <w:pPr>
              <w:jc w:val="left"/>
            </w:pPr>
            <w:r/>
            <w:r>
              <w:rPr>
                <w:rFonts w:ascii="Times New Roman" w:hAnsi="Times New Roman" w:eastAsia="宋体"/>
                <w:b w:val="0"/>
                <w:sz w:val="20"/>
              </w:rPr>
              <w:t>Subtotal — Operating Costs</w:t>
            </w:r>
          </w:p>
        </w:tc>
        <w:tc>
          <w:tcPr>
            <w:tcW w:type="dxa" w:w="1134"/>
          </w:tcPr>
          <w:p>
            <w:pPr>
              <w:jc w:val="center"/>
            </w:pPr>
            <w:r/>
            <w:r>
              <w:rPr>
                <w:rFonts w:ascii="Times New Roman" w:hAnsi="Times New Roman" w:eastAsia="宋体"/>
                <w:b w:val="0"/>
                <w:sz w:val="20"/>
              </w:rPr>
              <w:t>6.80</w:t>
            </w:r>
          </w:p>
        </w:tc>
        <w:tc>
          <w:tcPr>
            <w:tcW w:type="dxa" w:w="1134"/>
          </w:tcPr>
          <w:p>
            <w:pPr>
              <w:jc w:val="center"/>
            </w:pPr>
            <w:r/>
            <w:r>
              <w:rPr>
                <w:rFonts w:ascii="Times New Roman" w:hAnsi="Times New Roman" w:eastAsia="宋体"/>
                <w:b w:val="0"/>
                <w:sz w:val="20"/>
              </w:rPr>
              <w:t>11.70</w:t>
            </w:r>
          </w:p>
        </w:tc>
        <w:tc>
          <w:tcPr>
            <w:tcW w:type="dxa" w:w="1134"/>
          </w:tcPr>
          <w:p>
            <w:pPr>
              <w:jc w:val="center"/>
            </w:pPr>
            <w:r/>
            <w:r>
              <w:rPr>
                <w:rFonts w:ascii="Times New Roman" w:hAnsi="Times New Roman" w:eastAsia="宋体"/>
                <w:b w:val="0"/>
                <w:sz w:val="20"/>
              </w:rPr>
              <w:t>19.50</w:t>
            </w:r>
          </w:p>
        </w:tc>
        <w:tc>
          <w:tcPr>
            <w:tcW w:type="dxa" w:w="1134"/>
          </w:tcPr>
          <w:p>
            <w:pPr>
              <w:jc w:val="center"/>
            </w:pPr>
            <w:r/>
            <w:r>
              <w:rPr>
                <w:rFonts w:ascii="Times New Roman" w:hAnsi="Times New Roman" w:eastAsia="宋体"/>
                <w:b w:val="0"/>
                <w:sz w:val="20"/>
              </w:rPr>
              <w:t>28.50</w:t>
            </w:r>
          </w:p>
        </w:tc>
        <w:tc>
          <w:tcPr>
            <w:tcW w:type="dxa" w:w="1134"/>
          </w:tcPr>
          <w:p>
            <w:pPr>
              <w:jc w:val="center"/>
            </w:pPr>
            <w:r/>
            <w:r>
              <w:rPr>
                <w:rFonts w:ascii="Times New Roman" w:hAnsi="Times New Roman" w:eastAsia="宋体"/>
                <w:b w:val="0"/>
                <w:sz w:val="20"/>
              </w:rPr>
              <w:t>37.50</w:t>
            </w:r>
          </w:p>
        </w:tc>
      </w:tr>
      <w:tr>
        <w:tc>
          <w:tcPr>
            <w:tcW w:type="dxa" w:w="3402"/>
          </w:tcPr>
          <w:p>
            <w:pPr>
              <w:jc w:val="left"/>
            </w:pPr>
            <w:r/>
            <w:r>
              <w:rPr>
                <w:rFonts w:ascii="Times New Roman" w:hAnsi="Times New Roman" w:eastAsia="宋体"/>
                <w:b w:val="0"/>
                <w:sz w:val="20"/>
              </w:rPr>
              <w:t>Fixed Asset Depreciation</w:t>
            </w:r>
          </w:p>
        </w:tc>
        <w:tc>
          <w:tcPr>
            <w:tcW w:type="dxa" w:w="1134"/>
          </w:tcPr>
          <w:p>
            <w:pPr>
              <w:jc w:val="center"/>
            </w:pPr>
            <w:r/>
            <w:r>
              <w:rPr>
                <w:rFonts w:ascii="Times New Roman" w:hAnsi="Times New Roman" w:eastAsia="宋体"/>
                <w:b w:val="0"/>
                <w:sz w:val="20"/>
              </w:rPr>
              <w:t>0.30</w:t>
            </w:r>
          </w:p>
        </w:tc>
        <w:tc>
          <w:tcPr>
            <w:tcW w:type="dxa" w:w="1134"/>
          </w:tcPr>
          <w:p>
            <w:pPr>
              <w:jc w:val="center"/>
            </w:pPr>
            <w:r/>
            <w:r>
              <w:rPr>
                <w:rFonts w:ascii="Times New Roman" w:hAnsi="Times New Roman" w:eastAsia="宋体"/>
                <w:b w:val="0"/>
                <w:sz w:val="20"/>
              </w:rPr>
              <w:t>0.30</w:t>
            </w:r>
          </w:p>
        </w:tc>
        <w:tc>
          <w:tcPr>
            <w:tcW w:type="dxa" w:w="1134"/>
          </w:tcPr>
          <w:p>
            <w:pPr>
              <w:jc w:val="center"/>
            </w:pPr>
            <w:r/>
            <w:r>
              <w:rPr>
                <w:rFonts w:ascii="Times New Roman" w:hAnsi="Times New Roman" w:eastAsia="宋体"/>
                <w:b w:val="0"/>
                <w:sz w:val="20"/>
              </w:rPr>
              <w:t>0.30</w:t>
            </w:r>
          </w:p>
        </w:tc>
        <w:tc>
          <w:tcPr>
            <w:tcW w:type="dxa" w:w="1134"/>
          </w:tcPr>
          <w:p>
            <w:pPr>
              <w:jc w:val="center"/>
            </w:pPr>
            <w:r/>
            <w:r>
              <w:rPr>
                <w:rFonts w:ascii="Times New Roman" w:hAnsi="Times New Roman" w:eastAsia="宋体"/>
                <w:b w:val="0"/>
                <w:sz w:val="20"/>
              </w:rPr>
              <w:t>0.30</w:t>
            </w:r>
          </w:p>
        </w:tc>
        <w:tc>
          <w:tcPr>
            <w:tcW w:type="dxa" w:w="1134"/>
          </w:tcPr>
          <w:p>
            <w:pPr>
              <w:jc w:val="center"/>
            </w:pPr>
            <w:r/>
            <w:r>
              <w:rPr>
                <w:rFonts w:ascii="Times New Roman" w:hAnsi="Times New Roman" w:eastAsia="宋体"/>
                <w:b w:val="0"/>
                <w:sz w:val="20"/>
              </w:rPr>
              <w:t>0.30</w:t>
            </w:r>
          </w:p>
        </w:tc>
      </w:tr>
      <w:tr>
        <w:tc>
          <w:tcPr>
            <w:tcW w:type="dxa" w:w="3402"/>
          </w:tcPr>
          <w:p>
            <w:pPr>
              <w:jc w:val="left"/>
            </w:pPr>
            <w:r/>
            <w:r>
              <w:rPr>
                <w:rFonts w:ascii="Times New Roman" w:hAnsi="Times New Roman" w:eastAsia="宋体"/>
                <w:b w:val="0"/>
                <w:sz w:val="20"/>
              </w:rPr>
              <w:t>Intangible Asset Amortization</w:t>
            </w:r>
          </w:p>
        </w:tc>
        <w:tc>
          <w:tcPr>
            <w:tcW w:type="dxa" w:w="1134"/>
          </w:tcPr>
          <w:p>
            <w:pPr>
              <w:jc w:val="center"/>
            </w:pPr>
            <w:r/>
            <w:r>
              <w:rPr>
                <w:rFonts w:ascii="Times New Roman" w:hAnsi="Times New Roman" w:eastAsia="宋体"/>
                <w:b w:val="0"/>
                <w:sz w:val="20"/>
              </w:rPr>
              <w:t>1.30</w:t>
            </w:r>
          </w:p>
        </w:tc>
        <w:tc>
          <w:tcPr>
            <w:tcW w:type="dxa" w:w="1134"/>
          </w:tcPr>
          <w:p>
            <w:pPr>
              <w:jc w:val="center"/>
            </w:pPr>
            <w:r/>
            <w:r>
              <w:rPr>
                <w:rFonts w:ascii="Times New Roman" w:hAnsi="Times New Roman" w:eastAsia="宋体"/>
                <w:b w:val="0"/>
                <w:sz w:val="20"/>
              </w:rPr>
              <w:t>1.30</w:t>
            </w:r>
          </w:p>
        </w:tc>
        <w:tc>
          <w:tcPr>
            <w:tcW w:type="dxa" w:w="1134"/>
          </w:tcPr>
          <w:p>
            <w:pPr>
              <w:jc w:val="center"/>
            </w:pPr>
            <w:r/>
            <w:r>
              <w:rPr>
                <w:rFonts w:ascii="Times New Roman" w:hAnsi="Times New Roman" w:eastAsia="宋体"/>
                <w:b w:val="0"/>
                <w:sz w:val="20"/>
              </w:rPr>
              <w:t>1.30</w:t>
            </w:r>
          </w:p>
        </w:tc>
        <w:tc>
          <w:tcPr>
            <w:tcW w:type="dxa" w:w="1134"/>
          </w:tcPr>
          <w:p>
            <w:pPr>
              <w:jc w:val="center"/>
            </w:pPr>
            <w:r/>
            <w:r>
              <w:rPr>
                <w:rFonts w:ascii="Times New Roman" w:hAnsi="Times New Roman" w:eastAsia="宋体"/>
                <w:b w:val="0"/>
                <w:sz w:val="20"/>
              </w:rPr>
              <w:t>1.30</w:t>
            </w:r>
          </w:p>
        </w:tc>
        <w:tc>
          <w:tcPr>
            <w:tcW w:type="dxa" w:w="1134"/>
          </w:tcPr>
          <w:p>
            <w:pPr>
              <w:jc w:val="center"/>
            </w:pPr>
            <w:r/>
            <w:r>
              <w:rPr>
                <w:rFonts w:ascii="Times New Roman" w:hAnsi="Times New Roman" w:eastAsia="宋体"/>
                <w:b w:val="0"/>
                <w:sz w:val="20"/>
              </w:rPr>
              <w:t>1.30</w:t>
            </w:r>
          </w:p>
        </w:tc>
      </w:tr>
      <w:tr>
        <w:tc>
          <w:tcPr>
            <w:tcW w:type="dxa" w:w="3402"/>
          </w:tcPr>
          <w:p>
            <w:pPr>
              <w:jc w:val="left"/>
            </w:pPr>
            <w:r/>
            <w:r>
              <w:rPr>
                <w:rFonts w:ascii="Times New Roman" w:hAnsi="Times New Roman" w:eastAsia="宋体"/>
                <w:b w:val="0"/>
                <w:sz w:val="20"/>
              </w:rPr>
              <w:t>Total Costs and Expenses</w:t>
            </w:r>
          </w:p>
        </w:tc>
        <w:tc>
          <w:tcPr>
            <w:tcW w:type="dxa" w:w="1134"/>
          </w:tcPr>
          <w:p>
            <w:pPr>
              <w:jc w:val="center"/>
            </w:pPr>
            <w:r/>
            <w:r>
              <w:rPr>
                <w:rFonts w:ascii="Times New Roman" w:hAnsi="Times New Roman" w:eastAsia="宋体"/>
                <w:b w:val="0"/>
                <w:sz w:val="20"/>
              </w:rPr>
              <w:t>8.40</w:t>
            </w:r>
          </w:p>
        </w:tc>
        <w:tc>
          <w:tcPr>
            <w:tcW w:type="dxa" w:w="1134"/>
          </w:tcPr>
          <w:p>
            <w:pPr>
              <w:jc w:val="center"/>
            </w:pPr>
            <w:r/>
            <w:r>
              <w:rPr>
                <w:rFonts w:ascii="Times New Roman" w:hAnsi="Times New Roman" w:eastAsia="宋体"/>
                <w:b w:val="0"/>
                <w:sz w:val="20"/>
              </w:rPr>
              <w:t>13.30</w:t>
            </w:r>
          </w:p>
        </w:tc>
        <w:tc>
          <w:tcPr>
            <w:tcW w:type="dxa" w:w="1134"/>
          </w:tcPr>
          <w:p>
            <w:pPr>
              <w:jc w:val="center"/>
            </w:pPr>
            <w:r/>
            <w:r>
              <w:rPr>
                <w:rFonts w:ascii="Times New Roman" w:hAnsi="Times New Roman" w:eastAsia="宋体"/>
                <w:b w:val="0"/>
                <w:sz w:val="20"/>
              </w:rPr>
              <w:t>21.10</w:t>
            </w:r>
          </w:p>
        </w:tc>
        <w:tc>
          <w:tcPr>
            <w:tcW w:type="dxa" w:w="1134"/>
          </w:tcPr>
          <w:p>
            <w:pPr>
              <w:jc w:val="center"/>
            </w:pPr>
            <w:r/>
            <w:r>
              <w:rPr>
                <w:rFonts w:ascii="Times New Roman" w:hAnsi="Times New Roman" w:eastAsia="宋体"/>
                <w:b w:val="0"/>
                <w:sz w:val="20"/>
              </w:rPr>
              <w:t>30.10</w:t>
            </w:r>
          </w:p>
        </w:tc>
        <w:tc>
          <w:tcPr>
            <w:tcW w:type="dxa" w:w="1134"/>
          </w:tcPr>
          <w:p>
            <w:pPr>
              <w:jc w:val="center"/>
            </w:pPr>
            <w:r/>
            <w:r>
              <w:rPr>
                <w:rFonts w:ascii="Times New Roman" w:hAnsi="Times New Roman" w:eastAsia="宋体"/>
                <w:b w:val="0"/>
                <w:sz w:val="20"/>
              </w:rPr>
              <w:t>39.10</w:t>
            </w:r>
          </w:p>
        </w:tc>
      </w:tr>
    </w:tbl>
    <w:p/>
    <w:p>
      <w:r>
        <w:rPr>
          <w:rFonts w:ascii="Times New Roman" w:hAnsi="Times New Roman" w:eastAsia="宋体"/>
          <w:b w:val="0"/>
          <w:sz w:val="24"/>
        </w:rPr>
        <w:t>Cost structure analysis: The largest cost component is cloud resources and model API fees, accounting for approximately 35-37% of total costs, which is characteristic of AI-native software services. Operations and maintenance constitute the second-largest category. Depreciation and amortization together represent a declining share of total costs as revenue scales, reflecting the improving operating leverage of the business model.</w:t>
      </w:r>
    </w:p>
    <w:p>
      <w:pPr>
        <w:pStyle w:val="Heading1"/>
      </w:pPr>
      <w:r>
        <w:rPr>
          <w:rFonts w:ascii="Times New Roman" w:hAnsi="Times New Roman" w:eastAsia="黑体"/>
        </w:rPr>
        <w:t>VII. Project Investment Cash Flow Analysis</w:t>
      </w:r>
    </w:p>
    <w:p>
      <w:r>
        <w:rPr>
          <w:rFonts w:ascii="Times New Roman" w:hAnsi="Times New Roman" w:eastAsia="宋体"/>
          <w:b w:val="0"/>
          <w:sz w:val="24"/>
        </w:rPr>
        <w:t>This section evaluates the profitability of the project itself based on project investment and operating cash flows (pre-financing analysis). In the cash flow statement, Year 0 cash outflow is the total initial investment of RMB 120,000. Operating cash flow for Years 1-5 is calculated as Net Profit + Depreciation &amp; Amortization Add-back + Working Capital Recovery (Year 5 only).</w:t>
      </w:r>
    </w:p>
    <w:p>
      <w:pPr>
        <w:pStyle w:val="Heading2"/>
      </w:pPr>
      <w:r>
        <w:rPr>
          <w:rFonts w:ascii="Times New Roman" w:hAnsi="Times New Roman" w:eastAsia="黑体"/>
        </w:rPr>
        <w:t>7.1 Project Investment Cash Flow Statement</w:t>
      </w:r>
    </w:p>
    <w:tbl>
      <w:tblPr>
        <w:tblStyle w:val="TableGrid"/>
        <w:tblW w:type="auto" w:w="0"/>
        <w:jc w:val="center"/>
        <w:tblLook w:firstColumn="1" w:firstRow="1" w:lastColumn="0" w:lastRow="0" w:noHBand="0" w:noVBand="1" w:val="04A0"/>
      </w:tblPr>
      <w:tblGrid>
        <w:gridCol w:w="1233"/>
        <w:gridCol w:w="1233"/>
        <w:gridCol w:w="1233"/>
        <w:gridCol w:w="1233"/>
        <w:gridCol w:w="1233"/>
        <w:gridCol w:w="1233"/>
        <w:gridCol w:w="1233"/>
      </w:tblGrid>
      <w:tr>
        <w:tc>
          <w:tcPr>
            <w:tcW w:type="dxa" w:w="2835"/>
            <w:shd w:fill="D9E2F3" w:val="clear"/>
          </w:tcPr>
          <w:p>
            <w:pPr>
              <w:jc w:val="center"/>
            </w:pPr>
            <w:r/>
            <w:r>
              <w:rPr>
                <w:rFonts w:ascii="Times New Roman" w:hAnsi="Times New Roman" w:eastAsia="宋体"/>
                <w:b/>
                <w:sz w:val="20"/>
              </w:rPr>
              <w:t>Item</w:t>
            </w:r>
          </w:p>
        </w:tc>
        <w:tc>
          <w:tcPr>
            <w:tcW w:type="dxa" w:w="1020"/>
            <w:shd w:fill="D9E2F3" w:val="clear"/>
          </w:tcPr>
          <w:p>
            <w:pPr>
              <w:jc w:val="center"/>
            </w:pPr>
            <w:r/>
            <w:r>
              <w:rPr>
                <w:rFonts w:ascii="Times New Roman" w:hAnsi="Times New Roman" w:eastAsia="宋体"/>
                <w:b/>
                <w:sz w:val="20"/>
              </w:rPr>
              <w:t>Year 0</w:t>
            </w:r>
          </w:p>
        </w:tc>
        <w:tc>
          <w:tcPr>
            <w:tcW w:type="dxa" w:w="1020"/>
            <w:shd w:fill="D9E2F3" w:val="clear"/>
          </w:tcPr>
          <w:p>
            <w:pPr>
              <w:jc w:val="center"/>
            </w:pPr>
            <w:r/>
            <w:r>
              <w:rPr>
                <w:rFonts w:ascii="Times New Roman" w:hAnsi="Times New Roman" w:eastAsia="宋体"/>
                <w:b/>
                <w:sz w:val="20"/>
              </w:rPr>
              <w:t>Year 1</w:t>
            </w:r>
          </w:p>
        </w:tc>
        <w:tc>
          <w:tcPr>
            <w:tcW w:type="dxa" w:w="1020"/>
            <w:shd w:fill="D9E2F3" w:val="clear"/>
          </w:tcPr>
          <w:p>
            <w:pPr>
              <w:jc w:val="center"/>
            </w:pPr>
            <w:r/>
            <w:r>
              <w:rPr>
                <w:rFonts w:ascii="Times New Roman" w:hAnsi="Times New Roman" w:eastAsia="宋体"/>
                <w:b/>
                <w:sz w:val="20"/>
              </w:rPr>
              <w:t>Year 2</w:t>
            </w:r>
          </w:p>
        </w:tc>
        <w:tc>
          <w:tcPr>
            <w:tcW w:type="dxa" w:w="1020"/>
            <w:shd w:fill="D9E2F3" w:val="clear"/>
          </w:tcPr>
          <w:p>
            <w:pPr>
              <w:jc w:val="center"/>
            </w:pPr>
            <w:r/>
            <w:r>
              <w:rPr>
                <w:rFonts w:ascii="Times New Roman" w:hAnsi="Times New Roman" w:eastAsia="宋体"/>
                <w:b/>
                <w:sz w:val="20"/>
              </w:rPr>
              <w:t>Year 3</w:t>
            </w:r>
          </w:p>
        </w:tc>
        <w:tc>
          <w:tcPr>
            <w:tcW w:type="dxa" w:w="1020"/>
            <w:shd w:fill="D9E2F3" w:val="clear"/>
          </w:tcPr>
          <w:p>
            <w:pPr>
              <w:jc w:val="center"/>
            </w:pPr>
            <w:r/>
            <w:r>
              <w:rPr>
                <w:rFonts w:ascii="Times New Roman" w:hAnsi="Times New Roman" w:eastAsia="宋体"/>
                <w:b/>
                <w:sz w:val="20"/>
              </w:rPr>
              <w:t>Year 4</w:t>
            </w:r>
          </w:p>
        </w:tc>
        <w:tc>
          <w:tcPr>
            <w:tcW w:type="dxa" w:w="1020"/>
            <w:shd w:fill="D9E2F3" w:val="clear"/>
          </w:tcPr>
          <w:p>
            <w:pPr>
              <w:jc w:val="center"/>
            </w:pPr>
            <w:r/>
            <w:r>
              <w:rPr>
                <w:rFonts w:ascii="Times New Roman" w:hAnsi="Times New Roman" w:eastAsia="宋体"/>
                <w:b/>
                <w:sz w:val="20"/>
              </w:rPr>
              <w:t>Year 5</w:t>
            </w:r>
          </w:p>
        </w:tc>
      </w:tr>
      <w:tr>
        <w:tc>
          <w:tcPr>
            <w:tcW w:type="dxa" w:w="2835"/>
          </w:tcPr>
          <w:p>
            <w:pPr>
              <w:jc w:val="left"/>
            </w:pPr>
            <w:r/>
            <w:r>
              <w:rPr>
                <w:rFonts w:ascii="Times New Roman" w:hAnsi="Times New Roman" w:eastAsia="宋体"/>
                <w:b w:val="0"/>
                <w:sz w:val="20"/>
              </w:rPr>
              <w:t>1. Cash Inflow</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10.00</w:t>
            </w:r>
          </w:p>
        </w:tc>
        <w:tc>
          <w:tcPr>
            <w:tcW w:type="dxa" w:w="1020"/>
          </w:tcPr>
          <w:p>
            <w:pPr>
              <w:jc w:val="center"/>
            </w:pPr>
            <w:r/>
            <w:r>
              <w:rPr>
                <w:rFonts w:ascii="Times New Roman" w:hAnsi="Times New Roman" w:eastAsia="宋体"/>
                <w:b w:val="0"/>
                <w:sz w:val="20"/>
              </w:rPr>
              <w:t>21.00</w:t>
            </w:r>
          </w:p>
        </w:tc>
        <w:tc>
          <w:tcPr>
            <w:tcW w:type="dxa" w:w="1020"/>
          </w:tcPr>
          <w:p>
            <w:pPr>
              <w:jc w:val="center"/>
            </w:pPr>
            <w:r/>
            <w:r>
              <w:rPr>
                <w:rFonts w:ascii="Times New Roman" w:hAnsi="Times New Roman" w:eastAsia="宋体"/>
                <w:b w:val="0"/>
                <w:sz w:val="20"/>
              </w:rPr>
              <w:t>38.00</w:t>
            </w:r>
          </w:p>
        </w:tc>
        <w:tc>
          <w:tcPr>
            <w:tcW w:type="dxa" w:w="1020"/>
          </w:tcPr>
          <w:p>
            <w:pPr>
              <w:jc w:val="center"/>
            </w:pPr>
            <w:r/>
            <w:r>
              <w:rPr>
                <w:rFonts w:ascii="Times New Roman" w:hAnsi="Times New Roman" w:eastAsia="宋体"/>
                <w:b w:val="0"/>
                <w:sz w:val="20"/>
              </w:rPr>
              <w:t>58.00</w:t>
            </w:r>
          </w:p>
        </w:tc>
        <w:tc>
          <w:tcPr>
            <w:tcW w:type="dxa" w:w="1020"/>
          </w:tcPr>
          <w:p>
            <w:pPr>
              <w:jc w:val="center"/>
            </w:pPr>
            <w:r/>
            <w:r>
              <w:rPr>
                <w:rFonts w:ascii="Times New Roman" w:hAnsi="Times New Roman" w:eastAsia="宋体"/>
                <w:b w:val="0"/>
                <w:sz w:val="20"/>
              </w:rPr>
              <w:t>80.00</w:t>
            </w:r>
          </w:p>
        </w:tc>
      </w:tr>
      <w:tr>
        <w:tc>
          <w:tcPr>
            <w:tcW w:type="dxa" w:w="2835"/>
          </w:tcPr>
          <w:p>
            <w:pPr>
              <w:jc w:val="left"/>
            </w:pPr>
            <w:r/>
            <w:r>
              <w:rPr>
                <w:rFonts w:ascii="Times New Roman" w:hAnsi="Times New Roman" w:eastAsia="宋体"/>
                <w:b w:val="0"/>
                <w:sz w:val="20"/>
              </w:rPr>
              <w:t xml:space="preserve">   Operating Revenue</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10.00</w:t>
            </w:r>
          </w:p>
        </w:tc>
        <w:tc>
          <w:tcPr>
            <w:tcW w:type="dxa" w:w="1020"/>
          </w:tcPr>
          <w:p>
            <w:pPr>
              <w:jc w:val="center"/>
            </w:pPr>
            <w:r/>
            <w:r>
              <w:rPr>
                <w:rFonts w:ascii="Times New Roman" w:hAnsi="Times New Roman" w:eastAsia="宋体"/>
                <w:b w:val="0"/>
                <w:sz w:val="20"/>
              </w:rPr>
              <w:t>21.00</w:t>
            </w:r>
          </w:p>
        </w:tc>
        <w:tc>
          <w:tcPr>
            <w:tcW w:type="dxa" w:w="1020"/>
          </w:tcPr>
          <w:p>
            <w:pPr>
              <w:jc w:val="center"/>
            </w:pPr>
            <w:r/>
            <w:r>
              <w:rPr>
                <w:rFonts w:ascii="Times New Roman" w:hAnsi="Times New Roman" w:eastAsia="宋体"/>
                <w:b w:val="0"/>
                <w:sz w:val="20"/>
              </w:rPr>
              <w:t>38.00</w:t>
            </w:r>
          </w:p>
        </w:tc>
        <w:tc>
          <w:tcPr>
            <w:tcW w:type="dxa" w:w="1020"/>
          </w:tcPr>
          <w:p>
            <w:pPr>
              <w:jc w:val="center"/>
            </w:pPr>
            <w:r/>
            <w:r>
              <w:rPr>
                <w:rFonts w:ascii="Times New Roman" w:hAnsi="Times New Roman" w:eastAsia="宋体"/>
                <w:b w:val="0"/>
                <w:sz w:val="20"/>
              </w:rPr>
              <w:t>58.00</w:t>
            </w:r>
          </w:p>
        </w:tc>
        <w:tc>
          <w:tcPr>
            <w:tcW w:type="dxa" w:w="1020"/>
          </w:tcPr>
          <w:p>
            <w:pPr>
              <w:jc w:val="center"/>
            </w:pPr>
            <w:r/>
            <w:r>
              <w:rPr>
                <w:rFonts w:ascii="Times New Roman" w:hAnsi="Times New Roman" w:eastAsia="宋体"/>
                <w:b w:val="0"/>
                <w:sz w:val="20"/>
              </w:rPr>
              <w:t>80.00</w:t>
            </w:r>
          </w:p>
        </w:tc>
      </w:tr>
      <w:tr>
        <w:tc>
          <w:tcPr>
            <w:tcW w:type="dxa" w:w="2835"/>
          </w:tcPr>
          <w:p>
            <w:pPr>
              <w:jc w:val="left"/>
            </w:pPr>
            <w:r/>
            <w:r>
              <w:rPr>
                <w:rFonts w:ascii="Times New Roman" w:hAnsi="Times New Roman" w:eastAsia="宋体"/>
                <w:b w:val="0"/>
                <w:sz w:val="20"/>
              </w:rPr>
              <w:t xml:space="preserve">   Working Capital Recovery</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3.00</w:t>
            </w:r>
          </w:p>
        </w:tc>
      </w:tr>
      <w:tr>
        <w:tc>
          <w:tcPr>
            <w:tcW w:type="dxa" w:w="2835"/>
          </w:tcPr>
          <w:p>
            <w:pPr>
              <w:jc w:val="left"/>
            </w:pPr>
            <w:r/>
            <w:r>
              <w:rPr>
                <w:rFonts w:ascii="Times New Roman" w:hAnsi="Times New Roman" w:eastAsia="宋体"/>
                <w:b w:val="0"/>
                <w:sz w:val="20"/>
              </w:rPr>
              <w:t>2. Cash Outflow</w:t>
            </w:r>
          </w:p>
        </w:tc>
        <w:tc>
          <w:tcPr>
            <w:tcW w:type="dxa" w:w="1020"/>
          </w:tcPr>
          <w:p>
            <w:pPr>
              <w:jc w:val="center"/>
            </w:pPr>
            <w:r/>
            <w:r>
              <w:rPr>
                <w:rFonts w:ascii="Times New Roman" w:hAnsi="Times New Roman" w:eastAsia="宋体"/>
                <w:b w:val="0"/>
                <w:sz w:val="20"/>
              </w:rPr>
              <w:t>12.00</w:t>
            </w:r>
          </w:p>
        </w:tc>
        <w:tc>
          <w:tcPr>
            <w:tcW w:type="dxa" w:w="1020"/>
          </w:tcPr>
          <w:p>
            <w:pPr>
              <w:jc w:val="center"/>
            </w:pPr>
            <w:r/>
            <w:r>
              <w:rPr>
                <w:rFonts w:ascii="Times New Roman" w:hAnsi="Times New Roman" w:eastAsia="宋体"/>
                <w:b w:val="0"/>
                <w:sz w:val="20"/>
              </w:rPr>
              <w:t>7.25</w:t>
            </w:r>
          </w:p>
        </w:tc>
        <w:tc>
          <w:tcPr>
            <w:tcW w:type="dxa" w:w="1020"/>
          </w:tcPr>
          <w:p>
            <w:pPr>
              <w:jc w:val="center"/>
            </w:pPr>
            <w:r/>
            <w:r>
              <w:rPr>
                <w:rFonts w:ascii="Times New Roman" w:hAnsi="Times New Roman" w:eastAsia="宋体"/>
                <w:b w:val="0"/>
                <w:sz w:val="20"/>
              </w:rPr>
              <w:t>13.74</w:t>
            </w:r>
          </w:p>
        </w:tc>
        <w:tc>
          <w:tcPr>
            <w:tcW w:type="dxa" w:w="1020"/>
          </w:tcPr>
          <w:p>
            <w:pPr>
              <w:jc w:val="center"/>
            </w:pPr>
            <w:r/>
            <w:r>
              <w:rPr>
                <w:rFonts w:ascii="Times New Roman" w:hAnsi="Times New Roman" w:eastAsia="宋体"/>
                <w:b w:val="0"/>
                <w:sz w:val="20"/>
              </w:rPr>
              <w:t>23.93</w:t>
            </w:r>
          </w:p>
        </w:tc>
        <w:tc>
          <w:tcPr>
            <w:tcW w:type="dxa" w:w="1020"/>
          </w:tcPr>
          <w:p>
            <w:pPr>
              <w:jc w:val="center"/>
            </w:pPr>
            <w:r/>
            <w:r>
              <w:rPr>
                <w:rFonts w:ascii="Times New Roman" w:hAnsi="Times New Roman" w:eastAsia="宋体"/>
                <w:b w:val="0"/>
                <w:sz w:val="20"/>
              </w:rPr>
              <w:t>35.79</w:t>
            </w:r>
          </w:p>
        </w:tc>
        <w:tc>
          <w:tcPr>
            <w:tcW w:type="dxa" w:w="1020"/>
          </w:tcPr>
          <w:p>
            <w:pPr>
              <w:jc w:val="center"/>
            </w:pPr>
            <w:r/>
            <w:r>
              <w:rPr>
                <w:rFonts w:ascii="Times New Roman" w:hAnsi="Times New Roman" w:eastAsia="宋体"/>
                <w:b w:val="0"/>
                <w:sz w:val="20"/>
              </w:rPr>
              <w:t>45.16</w:t>
            </w:r>
          </w:p>
        </w:tc>
      </w:tr>
      <w:tr>
        <w:tc>
          <w:tcPr>
            <w:tcW w:type="dxa" w:w="2835"/>
          </w:tcPr>
          <w:p>
            <w:pPr>
              <w:jc w:val="left"/>
            </w:pPr>
            <w:r/>
            <w:r>
              <w:rPr>
                <w:rFonts w:ascii="Times New Roman" w:hAnsi="Times New Roman" w:eastAsia="宋体"/>
                <w:b w:val="0"/>
                <w:sz w:val="20"/>
              </w:rPr>
              <w:t xml:space="preserve">   Initial Investment</w:t>
            </w:r>
          </w:p>
        </w:tc>
        <w:tc>
          <w:tcPr>
            <w:tcW w:type="dxa" w:w="1020"/>
          </w:tcPr>
          <w:p>
            <w:pPr>
              <w:jc w:val="center"/>
            </w:pPr>
            <w:r/>
            <w:r>
              <w:rPr>
                <w:rFonts w:ascii="Times New Roman" w:hAnsi="Times New Roman" w:eastAsia="宋体"/>
                <w:b w:val="0"/>
                <w:sz w:val="20"/>
              </w:rPr>
              <w:t>12.00</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0</w:t>
            </w:r>
          </w:p>
        </w:tc>
      </w:tr>
      <w:tr>
        <w:tc>
          <w:tcPr>
            <w:tcW w:type="dxa" w:w="2835"/>
          </w:tcPr>
          <w:p>
            <w:pPr>
              <w:jc w:val="left"/>
            </w:pPr>
            <w:r/>
            <w:r>
              <w:rPr>
                <w:rFonts w:ascii="Times New Roman" w:hAnsi="Times New Roman" w:eastAsia="宋体"/>
                <w:b w:val="0"/>
                <w:sz w:val="20"/>
              </w:rPr>
              <w:t xml:space="preserve">   Operating Costs</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6.80</w:t>
            </w:r>
          </w:p>
        </w:tc>
        <w:tc>
          <w:tcPr>
            <w:tcW w:type="dxa" w:w="1020"/>
          </w:tcPr>
          <w:p>
            <w:pPr>
              <w:jc w:val="center"/>
            </w:pPr>
            <w:r/>
            <w:r>
              <w:rPr>
                <w:rFonts w:ascii="Times New Roman" w:hAnsi="Times New Roman" w:eastAsia="宋体"/>
                <w:b w:val="0"/>
                <w:sz w:val="20"/>
              </w:rPr>
              <w:t>11.70</w:t>
            </w:r>
          </w:p>
        </w:tc>
        <w:tc>
          <w:tcPr>
            <w:tcW w:type="dxa" w:w="1020"/>
          </w:tcPr>
          <w:p>
            <w:pPr>
              <w:jc w:val="center"/>
            </w:pPr>
            <w:r/>
            <w:r>
              <w:rPr>
                <w:rFonts w:ascii="Times New Roman" w:hAnsi="Times New Roman" w:eastAsia="宋体"/>
                <w:b w:val="0"/>
                <w:sz w:val="20"/>
              </w:rPr>
              <w:t>19.50</w:t>
            </w:r>
          </w:p>
        </w:tc>
        <w:tc>
          <w:tcPr>
            <w:tcW w:type="dxa" w:w="1020"/>
          </w:tcPr>
          <w:p>
            <w:pPr>
              <w:jc w:val="center"/>
            </w:pPr>
            <w:r/>
            <w:r>
              <w:rPr>
                <w:rFonts w:ascii="Times New Roman" w:hAnsi="Times New Roman" w:eastAsia="宋体"/>
                <w:b w:val="0"/>
                <w:sz w:val="20"/>
              </w:rPr>
              <w:t>28.50</w:t>
            </w:r>
          </w:p>
        </w:tc>
        <w:tc>
          <w:tcPr>
            <w:tcW w:type="dxa" w:w="1020"/>
          </w:tcPr>
          <w:p>
            <w:pPr>
              <w:jc w:val="center"/>
            </w:pPr>
            <w:r/>
            <w:r>
              <w:rPr>
                <w:rFonts w:ascii="Times New Roman" w:hAnsi="Times New Roman" w:eastAsia="宋体"/>
                <w:b w:val="0"/>
                <w:sz w:val="20"/>
              </w:rPr>
              <w:t>37.50</w:t>
            </w:r>
          </w:p>
        </w:tc>
      </w:tr>
      <w:tr>
        <w:tc>
          <w:tcPr>
            <w:tcW w:type="dxa" w:w="2835"/>
          </w:tcPr>
          <w:p>
            <w:pPr>
              <w:jc w:val="left"/>
            </w:pPr>
            <w:r/>
            <w:r>
              <w:rPr>
                <w:rFonts w:ascii="Times New Roman" w:hAnsi="Times New Roman" w:eastAsia="宋体"/>
                <w:b w:val="0"/>
                <w:sz w:val="20"/>
              </w:rPr>
              <w:t xml:space="preserve">   Surcharges</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0.07</w:t>
            </w:r>
          </w:p>
        </w:tc>
        <w:tc>
          <w:tcPr>
            <w:tcW w:type="dxa" w:w="1020"/>
          </w:tcPr>
          <w:p>
            <w:pPr>
              <w:jc w:val="center"/>
            </w:pPr>
            <w:r/>
            <w:r>
              <w:rPr>
                <w:rFonts w:ascii="Times New Roman" w:hAnsi="Times New Roman" w:eastAsia="宋体"/>
                <w:b w:val="0"/>
                <w:sz w:val="20"/>
              </w:rPr>
              <w:t>0.15</w:t>
            </w:r>
          </w:p>
        </w:tc>
        <w:tc>
          <w:tcPr>
            <w:tcW w:type="dxa" w:w="1020"/>
          </w:tcPr>
          <w:p>
            <w:pPr>
              <w:jc w:val="center"/>
            </w:pPr>
            <w:r/>
            <w:r>
              <w:rPr>
                <w:rFonts w:ascii="Times New Roman" w:hAnsi="Times New Roman" w:eastAsia="宋体"/>
                <w:b w:val="0"/>
                <w:sz w:val="20"/>
              </w:rPr>
              <w:t>0.27</w:t>
            </w:r>
          </w:p>
        </w:tc>
        <w:tc>
          <w:tcPr>
            <w:tcW w:type="dxa" w:w="1020"/>
          </w:tcPr>
          <w:p>
            <w:pPr>
              <w:jc w:val="center"/>
            </w:pPr>
            <w:r/>
            <w:r>
              <w:rPr>
                <w:rFonts w:ascii="Times New Roman" w:hAnsi="Times New Roman" w:eastAsia="宋体"/>
                <w:b w:val="0"/>
                <w:sz w:val="20"/>
              </w:rPr>
              <w:t>0.42</w:t>
            </w:r>
          </w:p>
        </w:tc>
        <w:tc>
          <w:tcPr>
            <w:tcW w:type="dxa" w:w="1020"/>
          </w:tcPr>
          <w:p>
            <w:pPr>
              <w:jc w:val="center"/>
            </w:pPr>
            <w:r/>
            <w:r>
              <w:rPr>
                <w:rFonts w:ascii="Times New Roman" w:hAnsi="Times New Roman" w:eastAsia="宋体"/>
                <w:b w:val="0"/>
                <w:sz w:val="20"/>
              </w:rPr>
              <w:t>0.58</w:t>
            </w:r>
          </w:p>
        </w:tc>
      </w:tr>
      <w:tr>
        <w:tc>
          <w:tcPr>
            <w:tcW w:type="dxa" w:w="2835"/>
          </w:tcPr>
          <w:p>
            <w:pPr>
              <w:jc w:val="left"/>
            </w:pPr>
            <w:r/>
            <w:r>
              <w:rPr>
                <w:rFonts w:ascii="Times New Roman" w:hAnsi="Times New Roman" w:eastAsia="宋体"/>
                <w:b w:val="0"/>
                <w:sz w:val="20"/>
              </w:rPr>
              <w:t xml:space="preserve">   Income Tax</w:t>
            </w:r>
          </w:p>
        </w:tc>
        <w:tc>
          <w:tcPr>
            <w:tcW w:type="dxa" w:w="1020"/>
          </w:tcPr>
          <w:p>
            <w:pPr>
              <w:jc w:val="center"/>
            </w:pPr>
            <w:r/>
            <w:r>
              <w:rPr>
                <w:rFonts w:ascii="Times New Roman" w:hAnsi="Times New Roman" w:eastAsia="宋体"/>
                <w:b w:val="0"/>
                <w:sz w:val="20"/>
              </w:rPr>
              <w:t>0</w:t>
            </w:r>
          </w:p>
        </w:tc>
        <w:tc>
          <w:tcPr>
            <w:tcW w:type="dxa" w:w="1020"/>
          </w:tcPr>
          <w:p>
            <w:pPr>
              <w:jc w:val="center"/>
            </w:pPr>
            <w:r/>
            <w:r>
              <w:rPr>
                <w:rFonts w:ascii="Times New Roman" w:hAnsi="Times New Roman" w:eastAsia="宋体"/>
                <w:b w:val="0"/>
                <w:sz w:val="20"/>
              </w:rPr>
              <w:t>0.38</w:t>
            </w:r>
          </w:p>
        </w:tc>
        <w:tc>
          <w:tcPr>
            <w:tcW w:type="dxa" w:w="1020"/>
          </w:tcPr>
          <w:p>
            <w:pPr>
              <w:jc w:val="center"/>
            </w:pPr>
            <w:r/>
            <w:r>
              <w:rPr>
                <w:rFonts w:ascii="Times New Roman" w:hAnsi="Times New Roman" w:eastAsia="宋体"/>
                <w:b w:val="0"/>
                <w:sz w:val="20"/>
              </w:rPr>
              <w:t>1.89</w:t>
            </w:r>
          </w:p>
        </w:tc>
        <w:tc>
          <w:tcPr>
            <w:tcW w:type="dxa" w:w="1020"/>
          </w:tcPr>
          <w:p>
            <w:pPr>
              <w:jc w:val="center"/>
            </w:pPr>
            <w:r/>
            <w:r>
              <w:rPr>
                <w:rFonts w:ascii="Times New Roman" w:hAnsi="Times New Roman" w:eastAsia="宋体"/>
                <w:b w:val="0"/>
                <w:sz w:val="20"/>
              </w:rPr>
              <w:t>4.16</w:t>
            </w:r>
          </w:p>
        </w:tc>
        <w:tc>
          <w:tcPr>
            <w:tcW w:type="dxa" w:w="1020"/>
          </w:tcPr>
          <w:p>
            <w:pPr>
              <w:jc w:val="center"/>
            </w:pPr>
            <w:r/>
            <w:r>
              <w:rPr>
                <w:rFonts w:ascii="Times New Roman" w:hAnsi="Times New Roman" w:eastAsia="宋体"/>
                <w:b w:val="0"/>
                <w:sz w:val="20"/>
              </w:rPr>
              <w:t>6.87</w:t>
            </w:r>
          </w:p>
        </w:tc>
        <w:tc>
          <w:tcPr>
            <w:tcW w:type="dxa" w:w="1020"/>
          </w:tcPr>
          <w:p>
            <w:pPr>
              <w:jc w:val="center"/>
            </w:pPr>
            <w:r/>
            <w:r>
              <w:rPr>
                <w:rFonts w:ascii="Times New Roman" w:hAnsi="Times New Roman" w:eastAsia="宋体"/>
                <w:b w:val="0"/>
                <w:sz w:val="20"/>
              </w:rPr>
              <w:t>10.08</w:t>
            </w:r>
          </w:p>
        </w:tc>
      </w:tr>
      <w:tr>
        <w:tc>
          <w:tcPr>
            <w:tcW w:type="dxa" w:w="2835"/>
          </w:tcPr>
          <w:p>
            <w:pPr>
              <w:jc w:val="left"/>
            </w:pPr>
            <w:r/>
            <w:r>
              <w:rPr>
                <w:rFonts w:ascii="Times New Roman" w:hAnsi="Times New Roman" w:eastAsia="宋体"/>
                <w:b w:val="0"/>
                <w:sz w:val="20"/>
              </w:rPr>
              <w:t>3. Net Cash Flow (1-2)</w:t>
            </w:r>
          </w:p>
        </w:tc>
        <w:tc>
          <w:tcPr>
            <w:tcW w:type="dxa" w:w="1020"/>
          </w:tcPr>
          <w:p>
            <w:pPr>
              <w:jc w:val="center"/>
            </w:pPr>
            <w:r/>
            <w:r>
              <w:rPr>
                <w:rFonts w:ascii="Times New Roman" w:hAnsi="Times New Roman" w:eastAsia="宋体"/>
                <w:b w:val="0"/>
                <w:sz w:val="20"/>
              </w:rPr>
              <w:t>-12.00</w:t>
            </w:r>
          </w:p>
        </w:tc>
        <w:tc>
          <w:tcPr>
            <w:tcW w:type="dxa" w:w="1020"/>
          </w:tcPr>
          <w:p>
            <w:pPr>
              <w:jc w:val="center"/>
            </w:pPr>
            <w:r/>
            <w:r>
              <w:rPr>
                <w:rFonts w:ascii="Times New Roman" w:hAnsi="Times New Roman" w:eastAsia="宋体"/>
                <w:b w:val="0"/>
                <w:sz w:val="20"/>
              </w:rPr>
              <w:t>2.75</w:t>
            </w:r>
          </w:p>
        </w:tc>
        <w:tc>
          <w:tcPr>
            <w:tcW w:type="dxa" w:w="1020"/>
          </w:tcPr>
          <w:p>
            <w:pPr>
              <w:jc w:val="center"/>
            </w:pPr>
            <w:r/>
            <w:r>
              <w:rPr>
                <w:rFonts w:ascii="Times New Roman" w:hAnsi="Times New Roman" w:eastAsia="宋体"/>
                <w:b w:val="0"/>
                <w:sz w:val="20"/>
              </w:rPr>
              <w:t>7.26</w:t>
            </w:r>
          </w:p>
        </w:tc>
        <w:tc>
          <w:tcPr>
            <w:tcW w:type="dxa" w:w="1020"/>
          </w:tcPr>
          <w:p>
            <w:pPr>
              <w:jc w:val="center"/>
            </w:pPr>
            <w:r/>
            <w:r>
              <w:rPr>
                <w:rFonts w:ascii="Times New Roman" w:hAnsi="Times New Roman" w:eastAsia="宋体"/>
                <w:b w:val="0"/>
                <w:sz w:val="20"/>
              </w:rPr>
              <w:t>14.07</w:t>
            </w:r>
          </w:p>
        </w:tc>
        <w:tc>
          <w:tcPr>
            <w:tcW w:type="dxa" w:w="1020"/>
          </w:tcPr>
          <w:p>
            <w:pPr>
              <w:jc w:val="center"/>
            </w:pPr>
            <w:r/>
            <w:r>
              <w:rPr>
                <w:rFonts w:ascii="Times New Roman" w:hAnsi="Times New Roman" w:eastAsia="宋体"/>
                <w:b w:val="0"/>
                <w:sz w:val="20"/>
              </w:rPr>
              <w:t>22.21</w:t>
            </w:r>
          </w:p>
        </w:tc>
        <w:tc>
          <w:tcPr>
            <w:tcW w:type="dxa" w:w="1020"/>
          </w:tcPr>
          <w:p>
            <w:pPr>
              <w:jc w:val="center"/>
            </w:pPr>
            <w:r/>
            <w:r>
              <w:rPr>
                <w:rFonts w:ascii="Times New Roman" w:hAnsi="Times New Roman" w:eastAsia="宋体"/>
                <w:b w:val="0"/>
                <w:sz w:val="20"/>
              </w:rPr>
              <w:t>34.84</w:t>
            </w:r>
          </w:p>
        </w:tc>
      </w:tr>
      <w:tr>
        <w:tc>
          <w:tcPr>
            <w:tcW w:type="dxa" w:w="2835"/>
          </w:tcPr>
          <w:p>
            <w:pPr>
              <w:jc w:val="left"/>
            </w:pPr>
            <w:r/>
            <w:r>
              <w:rPr>
                <w:rFonts w:ascii="Times New Roman" w:hAnsi="Times New Roman" w:eastAsia="宋体"/>
                <w:b w:val="0"/>
                <w:sz w:val="20"/>
              </w:rPr>
              <w:t>4. Discount Factor (i=10%)</w:t>
            </w:r>
          </w:p>
        </w:tc>
        <w:tc>
          <w:tcPr>
            <w:tcW w:type="dxa" w:w="1020"/>
          </w:tcPr>
          <w:p>
            <w:pPr>
              <w:jc w:val="center"/>
            </w:pPr>
            <w:r/>
            <w:r>
              <w:rPr>
                <w:rFonts w:ascii="Times New Roman" w:hAnsi="Times New Roman" w:eastAsia="宋体"/>
                <w:b w:val="0"/>
                <w:sz w:val="20"/>
              </w:rPr>
              <w:t>1.0000</w:t>
            </w:r>
          </w:p>
        </w:tc>
        <w:tc>
          <w:tcPr>
            <w:tcW w:type="dxa" w:w="1020"/>
          </w:tcPr>
          <w:p>
            <w:pPr>
              <w:jc w:val="center"/>
            </w:pPr>
            <w:r/>
            <w:r>
              <w:rPr>
                <w:rFonts w:ascii="Times New Roman" w:hAnsi="Times New Roman" w:eastAsia="宋体"/>
                <w:b w:val="0"/>
                <w:sz w:val="20"/>
              </w:rPr>
              <w:t>0.9091</w:t>
            </w:r>
          </w:p>
        </w:tc>
        <w:tc>
          <w:tcPr>
            <w:tcW w:type="dxa" w:w="1020"/>
          </w:tcPr>
          <w:p>
            <w:pPr>
              <w:jc w:val="center"/>
            </w:pPr>
            <w:r/>
            <w:r>
              <w:rPr>
                <w:rFonts w:ascii="Times New Roman" w:hAnsi="Times New Roman" w:eastAsia="宋体"/>
                <w:b w:val="0"/>
                <w:sz w:val="20"/>
              </w:rPr>
              <w:t>0.8264</w:t>
            </w:r>
          </w:p>
        </w:tc>
        <w:tc>
          <w:tcPr>
            <w:tcW w:type="dxa" w:w="1020"/>
          </w:tcPr>
          <w:p>
            <w:pPr>
              <w:jc w:val="center"/>
            </w:pPr>
            <w:r/>
            <w:r>
              <w:rPr>
                <w:rFonts w:ascii="Times New Roman" w:hAnsi="Times New Roman" w:eastAsia="宋体"/>
                <w:b w:val="0"/>
                <w:sz w:val="20"/>
              </w:rPr>
              <w:t>0.7513</w:t>
            </w:r>
          </w:p>
        </w:tc>
        <w:tc>
          <w:tcPr>
            <w:tcW w:type="dxa" w:w="1020"/>
          </w:tcPr>
          <w:p>
            <w:pPr>
              <w:jc w:val="center"/>
            </w:pPr>
            <w:r/>
            <w:r>
              <w:rPr>
                <w:rFonts w:ascii="Times New Roman" w:hAnsi="Times New Roman" w:eastAsia="宋体"/>
                <w:b w:val="0"/>
                <w:sz w:val="20"/>
              </w:rPr>
              <w:t>0.6830</w:t>
            </w:r>
          </w:p>
        </w:tc>
        <w:tc>
          <w:tcPr>
            <w:tcW w:type="dxa" w:w="1020"/>
          </w:tcPr>
          <w:p>
            <w:pPr>
              <w:jc w:val="center"/>
            </w:pPr>
            <w:r/>
            <w:r>
              <w:rPr>
                <w:rFonts w:ascii="Times New Roman" w:hAnsi="Times New Roman" w:eastAsia="宋体"/>
                <w:b w:val="0"/>
                <w:sz w:val="20"/>
              </w:rPr>
              <w:t>0.6209</w:t>
            </w:r>
          </w:p>
        </w:tc>
      </w:tr>
      <w:tr>
        <w:tc>
          <w:tcPr>
            <w:tcW w:type="dxa" w:w="2835"/>
          </w:tcPr>
          <w:p>
            <w:pPr>
              <w:jc w:val="left"/>
            </w:pPr>
            <w:r/>
            <w:r>
              <w:rPr>
                <w:rFonts w:ascii="Times New Roman" w:hAnsi="Times New Roman" w:eastAsia="宋体"/>
                <w:b w:val="0"/>
                <w:sz w:val="20"/>
              </w:rPr>
              <w:t>5. Discounted Net Cash Flow</w:t>
            </w:r>
          </w:p>
        </w:tc>
        <w:tc>
          <w:tcPr>
            <w:tcW w:type="dxa" w:w="1020"/>
          </w:tcPr>
          <w:p>
            <w:pPr>
              <w:jc w:val="center"/>
            </w:pPr>
            <w:r/>
            <w:r>
              <w:rPr>
                <w:rFonts w:ascii="Times New Roman" w:hAnsi="Times New Roman" w:eastAsia="宋体"/>
                <w:b w:val="0"/>
                <w:sz w:val="20"/>
              </w:rPr>
              <w:t>-12.00</w:t>
            </w:r>
          </w:p>
        </w:tc>
        <w:tc>
          <w:tcPr>
            <w:tcW w:type="dxa" w:w="1020"/>
          </w:tcPr>
          <w:p>
            <w:pPr>
              <w:jc w:val="center"/>
            </w:pPr>
            <w:r/>
            <w:r>
              <w:rPr>
                <w:rFonts w:ascii="Times New Roman" w:hAnsi="Times New Roman" w:eastAsia="宋体"/>
                <w:b w:val="0"/>
                <w:sz w:val="20"/>
              </w:rPr>
              <w:t>2.50</w:t>
            </w:r>
          </w:p>
        </w:tc>
        <w:tc>
          <w:tcPr>
            <w:tcW w:type="dxa" w:w="1020"/>
          </w:tcPr>
          <w:p>
            <w:pPr>
              <w:jc w:val="center"/>
            </w:pPr>
            <w:r/>
            <w:r>
              <w:rPr>
                <w:rFonts w:ascii="Times New Roman" w:hAnsi="Times New Roman" w:eastAsia="宋体"/>
                <w:b w:val="0"/>
                <w:sz w:val="20"/>
              </w:rPr>
              <w:t>6.00</w:t>
            </w:r>
          </w:p>
        </w:tc>
        <w:tc>
          <w:tcPr>
            <w:tcW w:type="dxa" w:w="1020"/>
          </w:tcPr>
          <w:p>
            <w:pPr>
              <w:jc w:val="center"/>
            </w:pPr>
            <w:r/>
            <w:r>
              <w:rPr>
                <w:rFonts w:ascii="Times New Roman" w:hAnsi="Times New Roman" w:eastAsia="宋体"/>
                <w:b w:val="0"/>
                <w:sz w:val="20"/>
              </w:rPr>
              <w:t>10.57</w:t>
            </w:r>
          </w:p>
        </w:tc>
        <w:tc>
          <w:tcPr>
            <w:tcW w:type="dxa" w:w="1020"/>
          </w:tcPr>
          <w:p>
            <w:pPr>
              <w:jc w:val="center"/>
            </w:pPr>
            <w:r/>
            <w:r>
              <w:rPr>
                <w:rFonts w:ascii="Times New Roman" w:hAnsi="Times New Roman" w:eastAsia="宋体"/>
                <w:b w:val="0"/>
                <w:sz w:val="20"/>
              </w:rPr>
              <w:t>15.17</w:t>
            </w:r>
          </w:p>
        </w:tc>
        <w:tc>
          <w:tcPr>
            <w:tcW w:type="dxa" w:w="1020"/>
          </w:tcPr>
          <w:p>
            <w:pPr>
              <w:jc w:val="center"/>
            </w:pPr>
            <w:r/>
            <w:r>
              <w:rPr>
                <w:rFonts w:ascii="Times New Roman" w:hAnsi="Times New Roman" w:eastAsia="宋体"/>
                <w:b w:val="0"/>
                <w:sz w:val="20"/>
              </w:rPr>
              <w:t>21.63</w:t>
            </w:r>
          </w:p>
        </w:tc>
      </w:tr>
      <w:tr>
        <w:tc>
          <w:tcPr>
            <w:tcW w:type="dxa" w:w="2835"/>
          </w:tcPr>
          <w:p>
            <w:pPr>
              <w:jc w:val="left"/>
            </w:pPr>
            <w:r/>
            <w:r>
              <w:rPr>
                <w:rFonts w:ascii="Times New Roman" w:hAnsi="Times New Roman" w:eastAsia="宋体"/>
                <w:b w:val="0"/>
                <w:sz w:val="20"/>
              </w:rPr>
              <w:t>6. Cumulative Discounted NCF</w:t>
            </w:r>
          </w:p>
        </w:tc>
        <w:tc>
          <w:tcPr>
            <w:tcW w:type="dxa" w:w="1020"/>
          </w:tcPr>
          <w:p>
            <w:pPr>
              <w:jc w:val="center"/>
            </w:pPr>
            <w:r/>
            <w:r>
              <w:rPr>
                <w:rFonts w:ascii="Times New Roman" w:hAnsi="Times New Roman" w:eastAsia="宋体"/>
                <w:b w:val="0"/>
                <w:sz w:val="20"/>
              </w:rPr>
              <w:t>-12.00</w:t>
            </w:r>
          </w:p>
        </w:tc>
        <w:tc>
          <w:tcPr>
            <w:tcW w:type="dxa" w:w="1020"/>
          </w:tcPr>
          <w:p>
            <w:pPr>
              <w:jc w:val="center"/>
            </w:pPr>
            <w:r/>
            <w:r>
              <w:rPr>
                <w:rFonts w:ascii="Times New Roman" w:hAnsi="Times New Roman" w:eastAsia="宋体"/>
                <w:b w:val="0"/>
                <w:sz w:val="20"/>
              </w:rPr>
              <w:t>-9.50</w:t>
            </w:r>
          </w:p>
        </w:tc>
        <w:tc>
          <w:tcPr>
            <w:tcW w:type="dxa" w:w="1020"/>
          </w:tcPr>
          <w:p>
            <w:pPr>
              <w:jc w:val="center"/>
            </w:pPr>
            <w:r/>
            <w:r>
              <w:rPr>
                <w:rFonts w:ascii="Times New Roman" w:hAnsi="Times New Roman" w:eastAsia="宋体"/>
                <w:b w:val="0"/>
                <w:sz w:val="20"/>
              </w:rPr>
              <w:t>-3.50</w:t>
            </w:r>
          </w:p>
        </w:tc>
        <w:tc>
          <w:tcPr>
            <w:tcW w:type="dxa" w:w="1020"/>
          </w:tcPr>
          <w:p>
            <w:pPr>
              <w:jc w:val="center"/>
            </w:pPr>
            <w:r/>
            <w:r>
              <w:rPr>
                <w:rFonts w:ascii="Times New Roman" w:hAnsi="Times New Roman" w:eastAsia="宋体"/>
                <w:b w:val="0"/>
                <w:sz w:val="20"/>
              </w:rPr>
              <w:t>7.07</w:t>
            </w:r>
          </w:p>
        </w:tc>
        <w:tc>
          <w:tcPr>
            <w:tcW w:type="dxa" w:w="1020"/>
          </w:tcPr>
          <w:p>
            <w:pPr>
              <w:jc w:val="center"/>
            </w:pPr>
            <w:r/>
            <w:r>
              <w:rPr>
                <w:rFonts w:ascii="Times New Roman" w:hAnsi="Times New Roman" w:eastAsia="宋体"/>
                <w:b w:val="0"/>
                <w:sz w:val="20"/>
              </w:rPr>
              <w:t>22.24</w:t>
            </w:r>
          </w:p>
        </w:tc>
        <w:tc>
          <w:tcPr>
            <w:tcW w:type="dxa" w:w="1020"/>
          </w:tcPr>
          <w:p>
            <w:pPr>
              <w:jc w:val="center"/>
            </w:pPr>
            <w:r/>
            <w:r>
              <w:rPr>
                <w:rFonts w:ascii="Times New Roman" w:hAnsi="Times New Roman" w:eastAsia="宋体"/>
                <w:b w:val="0"/>
                <w:sz w:val="20"/>
              </w:rPr>
              <w:t>43.88</w:t>
            </w:r>
          </w:p>
        </w:tc>
      </w:tr>
    </w:tbl>
    <w:p/>
    <w:p>
      <w:r>
        <w:rPr>
          <w:rFonts w:ascii="Times New Roman" w:hAnsi="Times New Roman" w:eastAsia="宋体"/>
          <w:b w:val="0"/>
          <w:sz w:val="24"/>
        </w:rPr>
        <w:t>Income tax calculation detail: Total Profit = Operating Revenue − Total Costs − Surcharges. Income Tax = Max(Total Profit, 0) × 25%. Net Profit = Total Profit − Income Tax. Depreciation and amortization are non-cash expenses, so they are added back when computing operating net cash flow.</w:t>
      </w:r>
    </w:p>
    <w:p>
      <w:pPr>
        <w:pStyle w:val="Heading2"/>
      </w:pPr>
      <w:r>
        <w:rPr>
          <w:rFonts w:ascii="Times New Roman" w:hAnsi="Times New Roman" w:eastAsia="黑体"/>
        </w:rPr>
        <w:t>7.2 Evaluation Indicator Calculation Results</w:t>
      </w:r>
    </w:p>
    <w:p>
      <w:r>
        <w:rPr>
          <w:rFonts w:ascii="Times New Roman" w:hAnsi="Times New Roman" w:eastAsia="宋体"/>
          <w:b w:val="0"/>
          <w:sz w:val="24"/>
        </w:rPr>
        <w:t>Based on the project investment cash flow statement, the three core evaluation indicators are calculated as follows:</w:t>
      </w:r>
    </w:p>
    <w:p>
      <w:r>
        <w:rPr>
          <w:rFonts w:ascii="Times New Roman" w:hAnsi="Times New Roman" w:eastAsia="宋体"/>
          <w:b w:val="0"/>
          <w:sz w:val="20"/>
        </w:rPr>
        <w:t>NPV Calculation:</w:t>
        <w:br/>
        <w:t xml:space="preserve">  NPV = −12.00 + 2.75/(1.10)¹ + 7.26/(1.10)² + 14.07/(1.10)³ + 22.21/(1.10)⁴ + 34.84/(1.10)⁵</w:t>
        <w:br/>
        <w:t xml:space="preserve">      = −12.00 + 2.50 + 6.00 + 10.57 + 15.17 + 21.63</w:t>
        <w:br/>
        <w:t xml:space="preserve">      = 43.88 (RMB 10,000) = RMB 438,800</w:t>
      </w:r>
    </w:p>
    <w:p>
      <w:r>
        <w:rPr>
          <w:rFonts w:ascii="Times New Roman" w:hAnsi="Times New Roman" w:eastAsia="宋体"/>
          <w:b w:val="0"/>
          <w:sz w:val="20"/>
        </w:rPr>
        <w:t>IRR Calculation:</w:t>
        <w:br/>
        <w:t xml:space="preserve">  IRR is the discount rate r such that NPV(r) = 0. Using Excel IRR function or iterative interpolation:</w:t>
        <w:br/>
        <w:t xml:space="preserve">  NPV(70%) ≈ +0.38, NPV(71%) ≈ −0.15 ⇒ IRR ≈ 70.47%</w:t>
      </w:r>
    </w:p>
    <w:p>
      <w:r>
        <w:rPr>
          <w:rFonts w:ascii="Times New Roman" w:hAnsi="Times New Roman" w:eastAsia="宋体"/>
          <w:b w:val="0"/>
          <w:sz w:val="20"/>
        </w:rPr>
        <w:t>Dynamic Investment Payback Period:</w:t>
        <w:br/>
        <w:t xml:space="preserve">  Pₜ' = (T − 1) + |Cumulative Discounted NCF at (T−1)| / Discounted NCF at Year T</w:t>
        <w:br/>
        <w:t xml:space="preserve">      = (3 − 1) + |−3.50| / 10.57</w:t>
        <w:br/>
        <w:t xml:space="preserve">      = 2 + 0.33</w:t>
        <w:br/>
        <w:t xml:space="preserve">      = 2.33 years</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1984"/>
            <w:shd w:fill="D9E2F3" w:val="clear"/>
          </w:tcPr>
          <w:p>
            <w:pPr>
              <w:jc w:val="center"/>
            </w:pPr>
            <w:r/>
            <w:r>
              <w:rPr>
                <w:rFonts w:ascii="Times New Roman" w:hAnsi="Times New Roman" w:eastAsia="宋体"/>
                <w:b/>
                <w:sz w:val="20"/>
              </w:rPr>
              <w:t>Indicator</w:t>
            </w:r>
          </w:p>
        </w:tc>
        <w:tc>
          <w:tcPr>
            <w:tcW w:type="dxa" w:w="1701"/>
            <w:shd w:fill="D9E2F3" w:val="clear"/>
          </w:tcPr>
          <w:p>
            <w:pPr>
              <w:jc w:val="center"/>
            </w:pPr>
            <w:r/>
            <w:r>
              <w:rPr>
                <w:rFonts w:ascii="Times New Roman" w:hAnsi="Times New Roman" w:eastAsia="宋体"/>
                <w:b/>
                <w:sz w:val="20"/>
              </w:rPr>
              <w:t>Calculated Value</w:t>
            </w:r>
          </w:p>
        </w:tc>
        <w:tc>
          <w:tcPr>
            <w:tcW w:type="dxa" w:w="2551"/>
            <w:shd w:fill="D9E2F3" w:val="clear"/>
          </w:tcPr>
          <w:p>
            <w:pPr>
              <w:jc w:val="center"/>
            </w:pPr>
            <w:r/>
            <w:r>
              <w:rPr>
                <w:rFonts w:ascii="Times New Roman" w:hAnsi="Times New Roman" w:eastAsia="宋体"/>
                <w:b/>
                <w:sz w:val="20"/>
              </w:rPr>
              <w:t>Judgment Criterion</w:t>
            </w:r>
          </w:p>
        </w:tc>
        <w:tc>
          <w:tcPr>
            <w:tcW w:type="dxa" w:w="2835"/>
            <w:shd w:fill="D9E2F3" w:val="clear"/>
          </w:tcPr>
          <w:p>
            <w:pPr>
              <w:jc w:val="center"/>
            </w:pPr>
            <w:r/>
            <w:r>
              <w:rPr>
                <w:rFonts w:ascii="Times New Roman" w:hAnsi="Times New Roman" w:eastAsia="宋体"/>
                <w:b/>
                <w:sz w:val="20"/>
              </w:rPr>
              <w:t>Conclusion</w:t>
            </w:r>
          </w:p>
        </w:tc>
      </w:tr>
      <w:tr>
        <w:tc>
          <w:tcPr>
            <w:tcW w:type="dxa" w:w="1984"/>
          </w:tcPr>
          <w:p>
            <w:pPr>
              <w:jc w:val="left"/>
            </w:pPr>
            <w:r/>
            <w:r>
              <w:rPr>
                <w:rFonts w:ascii="Times New Roman" w:hAnsi="Times New Roman" w:eastAsia="宋体"/>
                <w:b w:val="0"/>
                <w:sz w:val="20"/>
              </w:rPr>
              <w:t>Net Present Value</w:t>
              <w:br/>
              <w:t>NPV (i₀ = 10%)</w:t>
            </w:r>
          </w:p>
        </w:tc>
        <w:tc>
          <w:tcPr>
            <w:tcW w:type="dxa" w:w="1701"/>
          </w:tcPr>
          <w:p>
            <w:pPr>
              <w:jc w:val="center"/>
            </w:pPr>
            <w:r/>
            <w:r>
              <w:rPr>
                <w:rFonts w:ascii="Times New Roman" w:hAnsi="Times New Roman" w:eastAsia="宋体"/>
                <w:b w:val="0"/>
                <w:sz w:val="20"/>
              </w:rPr>
              <w:t>RMB 438,800</w:t>
            </w:r>
          </w:p>
        </w:tc>
        <w:tc>
          <w:tcPr>
            <w:tcW w:type="dxa" w:w="2551"/>
          </w:tcPr>
          <w:p>
            <w:pPr>
              <w:jc w:val="center"/>
            </w:pPr>
            <w:r/>
            <w:r>
              <w:rPr>
                <w:rFonts w:ascii="Times New Roman" w:hAnsi="Times New Roman" w:eastAsia="宋体"/>
                <w:b w:val="0"/>
                <w:sz w:val="20"/>
              </w:rPr>
              <w:t>NPV &gt; 0</w:t>
            </w:r>
          </w:p>
        </w:tc>
        <w:tc>
          <w:tcPr>
            <w:tcW w:type="dxa" w:w="2835"/>
          </w:tcPr>
          <w:p>
            <w:pPr>
              <w:jc w:val="center"/>
            </w:pPr>
            <w:r/>
            <w:r>
              <w:rPr>
                <w:rFonts w:ascii="Times New Roman" w:hAnsi="Times New Roman" w:eastAsia="宋体"/>
                <w:b w:val="0"/>
                <w:sz w:val="20"/>
              </w:rPr>
              <w:t>Feasible — project creates excess returns</w:t>
            </w:r>
          </w:p>
        </w:tc>
      </w:tr>
      <w:tr>
        <w:tc>
          <w:tcPr>
            <w:tcW w:type="dxa" w:w="1984"/>
          </w:tcPr>
          <w:p>
            <w:pPr>
              <w:jc w:val="left"/>
            </w:pPr>
            <w:r/>
            <w:r>
              <w:rPr>
                <w:rFonts w:ascii="Times New Roman" w:hAnsi="Times New Roman" w:eastAsia="宋体"/>
                <w:b w:val="0"/>
                <w:sz w:val="20"/>
              </w:rPr>
              <w:t>Internal Rate of Return</w:t>
              <w:br/>
              <w:t>IRR</w:t>
            </w:r>
          </w:p>
        </w:tc>
        <w:tc>
          <w:tcPr>
            <w:tcW w:type="dxa" w:w="1701"/>
          </w:tcPr>
          <w:p>
            <w:pPr>
              <w:jc w:val="center"/>
            </w:pPr>
            <w:r/>
            <w:r>
              <w:rPr>
                <w:rFonts w:ascii="Times New Roman" w:hAnsi="Times New Roman" w:eastAsia="宋体"/>
                <w:b w:val="0"/>
                <w:sz w:val="20"/>
              </w:rPr>
              <w:t>70.47%</w:t>
            </w:r>
          </w:p>
        </w:tc>
        <w:tc>
          <w:tcPr>
            <w:tcW w:type="dxa" w:w="2551"/>
          </w:tcPr>
          <w:p>
            <w:pPr>
              <w:jc w:val="center"/>
            </w:pPr>
            <w:r/>
            <w:r>
              <w:rPr>
                <w:rFonts w:ascii="Times New Roman" w:hAnsi="Times New Roman" w:eastAsia="宋体"/>
                <w:b w:val="0"/>
                <w:sz w:val="20"/>
              </w:rPr>
              <w:t>IRR &gt; i₀ (10%)</w:t>
            </w:r>
          </w:p>
        </w:tc>
        <w:tc>
          <w:tcPr>
            <w:tcW w:type="dxa" w:w="2835"/>
          </w:tcPr>
          <w:p>
            <w:pPr>
              <w:jc w:val="center"/>
            </w:pPr>
            <w:r/>
            <w:r>
              <w:rPr>
                <w:rFonts w:ascii="Times New Roman" w:hAnsi="Times New Roman" w:eastAsia="宋体"/>
                <w:b w:val="0"/>
                <w:sz w:val="20"/>
              </w:rPr>
              <w:t>Feasible — significantly exceeds benchmark</w:t>
            </w:r>
          </w:p>
        </w:tc>
      </w:tr>
      <w:tr>
        <w:tc>
          <w:tcPr>
            <w:tcW w:type="dxa" w:w="1984"/>
          </w:tcPr>
          <w:p>
            <w:pPr>
              <w:jc w:val="left"/>
            </w:pPr>
            <w:r/>
            <w:r>
              <w:rPr>
                <w:rFonts w:ascii="Times New Roman" w:hAnsi="Times New Roman" w:eastAsia="宋体"/>
                <w:b w:val="0"/>
                <w:sz w:val="20"/>
              </w:rPr>
              <w:t>Dynamic Investment</w:t>
              <w:br/>
              <w:t>Payback Period Pₜ'</w:t>
            </w:r>
          </w:p>
        </w:tc>
        <w:tc>
          <w:tcPr>
            <w:tcW w:type="dxa" w:w="1701"/>
          </w:tcPr>
          <w:p>
            <w:pPr>
              <w:jc w:val="center"/>
            </w:pPr>
            <w:r/>
            <w:r>
              <w:rPr>
                <w:rFonts w:ascii="Times New Roman" w:hAnsi="Times New Roman" w:eastAsia="宋体"/>
                <w:b w:val="0"/>
                <w:sz w:val="20"/>
              </w:rPr>
              <w:t>2.33 years</w:t>
            </w:r>
          </w:p>
        </w:tc>
        <w:tc>
          <w:tcPr>
            <w:tcW w:type="dxa" w:w="2551"/>
          </w:tcPr>
          <w:p>
            <w:pPr>
              <w:jc w:val="center"/>
            </w:pPr>
            <w:r/>
            <w:r>
              <w:rPr>
                <w:rFonts w:ascii="Times New Roman" w:hAnsi="Times New Roman" w:eastAsia="宋体"/>
                <w:b w:val="0"/>
                <w:sz w:val="20"/>
              </w:rPr>
              <w:t>Pₜ' &lt; 5 years</w:t>
            </w:r>
          </w:p>
        </w:tc>
        <w:tc>
          <w:tcPr>
            <w:tcW w:type="dxa" w:w="2835"/>
          </w:tcPr>
          <w:p>
            <w:pPr>
              <w:jc w:val="center"/>
            </w:pPr>
            <w:r/>
            <w:r>
              <w:rPr>
                <w:rFonts w:ascii="Times New Roman" w:hAnsi="Times New Roman" w:eastAsia="宋体"/>
                <w:b w:val="0"/>
                <w:sz w:val="20"/>
              </w:rPr>
              <w:t>Feasible — capital recovered well within lifecycle</w:t>
            </w:r>
          </w:p>
        </w:tc>
      </w:tr>
      <w:tr>
        <w:tc>
          <w:tcPr>
            <w:tcW w:type="dxa" w:w="1984"/>
          </w:tcPr>
          <w:p>
            <w:pPr>
              <w:jc w:val="left"/>
            </w:pPr>
            <w:r/>
            <w:r>
              <w:rPr>
                <w:rFonts w:ascii="Times New Roman" w:hAnsi="Times New Roman" w:eastAsia="宋体"/>
                <w:b w:val="0"/>
                <w:sz w:val="20"/>
              </w:rPr>
              <w:t>Cumulative Net</w:t>
              <w:br/>
              <w:t>Cash Flow (5 years)</w:t>
            </w:r>
          </w:p>
        </w:tc>
        <w:tc>
          <w:tcPr>
            <w:tcW w:type="dxa" w:w="1701"/>
          </w:tcPr>
          <w:p>
            <w:pPr>
              <w:jc w:val="center"/>
            </w:pPr>
            <w:r/>
            <w:r>
              <w:rPr>
                <w:rFonts w:ascii="Times New Roman" w:hAnsi="Times New Roman" w:eastAsia="宋体"/>
                <w:b w:val="0"/>
                <w:sz w:val="20"/>
              </w:rPr>
              <w:t>RMB 691,300</w:t>
            </w:r>
          </w:p>
        </w:tc>
        <w:tc>
          <w:tcPr>
            <w:tcW w:type="dxa" w:w="2551"/>
          </w:tcPr>
          <w:p>
            <w:pPr>
              <w:jc w:val="center"/>
            </w:pPr>
            <w:r/>
            <w:r>
              <w:rPr>
                <w:rFonts w:ascii="Times New Roman" w:hAnsi="Times New Roman" w:eastAsia="宋体"/>
                <w:b w:val="0"/>
                <w:sz w:val="20"/>
              </w:rPr>
              <w:t>Positive cumulative NCF</w:t>
            </w:r>
          </w:p>
        </w:tc>
        <w:tc>
          <w:tcPr>
            <w:tcW w:type="dxa" w:w="2835"/>
          </w:tcPr>
          <w:p>
            <w:pPr>
              <w:jc w:val="center"/>
            </w:pPr>
            <w:r/>
            <w:r>
              <w:rPr>
                <w:rFonts w:ascii="Times New Roman" w:hAnsi="Times New Roman" w:eastAsia="宋体"/>
                <w:b w:val="0"/>
                <w:sz w:val="20"/>
              </w:rPr>
              <w:t>5-year total cash inflow covers initial investment</w:t>
            </w:r>
          </w:p>
        </w:tc>
      </w:tr>
    </w:tbl>
    <w:p/>
    <w:p>
      <w:r>
        <w:rPr>
          <w:rFonts w:ascii="Times New Roman" w:hAnsi="Times New Roman" w:eastAsia="宋体"/>
          <w:b w:val="0"/>
          <w:sz w:val="24"/>
        </w:rPr>
        <w:t>According to the above calculations, HeartCompass demonstrates strong profitability and investment recovery capability under the benchmark scenario. The revenue assumptions are oriented toward concrete digital companion persona scenarios: starting from personal subscriptions and small-group use cases, supplemented by customized commemorative archive services as ancillary revenue. The results are aligned with the project's current positioning as an MVP-stage AI companionship service.</w:t>
      </w:r>
    </w:p>
    <w:p>
      <w:pPr>
        <w:pStyle w:val="Heading2"/>
      </w:pPr>
      <w:r>
        <w:rPr>
          <w:rFonts w:ascii="Times New Roman" w:hAnsi="Times New Roman" w:eastAsia="黑体"/>
        </w:rPr>
        <w:t>7.2.1 Formal Judgment (per Step 3.3.2)</w:t>
      </w:r>
    </w:p>
    <w:p>
      <w:r>
        <w:rPr>
          <w:rFonts w:ascii="Times New Roman" w:hAnsi="Times New Roman" w:eastAsia="宋体"/>
          <w:b w:val="0"/>
          <w:sz w:val="24"/>
        </w:rPr>
        <w:t>Following the judgment framework specified in the experiment instruction (Step 3.3.2): The above calculation results show that the project benefits meet all three acceptance criteria — NPV = RMB 438,800 &gt; 0, IRR = 70.47% &gt; i₀ = 10%, and Pₜ' = 2.33 years &lt; 5-year calculation period. Therefore, the project is judged FEASIBLE, and it is recommended to proceed to the next step: consider the financing plan and conduct post-financing analysis. Since this report adopts a pre-financing analysis framework and the benchmark scenario already demonstrates strong profitability, the project does not require design modification or abandonment. The sensitivity analysis below further confirms that even under adverse conditions, the project maintains positive NPV, reinforcing the judgment that HeartCompass is economically viable and ready for financing consideration.</w:t>
      </w:r>
    </w:p>
    <w:p>
      <w:pPr>
        <w:pStyle w:val="Heading2"/>
      </w:pPr>
      <w:r>
        <w:rPr>
          <w:rFonts w:ascii="Times New Roman" w:hAnsi="Times New Roman" w:eastAsia="黑体"/>
        </w:rPr>
        <w:t>7.3 Sensitivity Analysis</w:t>
      </w:r>
    </w:p>
    <w:p>
      <w:r>
        <w:rPr>
          <w:rFonts w:ascii="Times New Roman" w:hAnsi="Times New Roman" w:eastAsia="宋体"/>
          <w:b w:val="0"/>
          <w:sz w:val="24"/>
        </w:rPr>
        <w:t>Given that user conversion rates and model invocation costs for digital companion persona products are inherently uncertain, this report selects revenue and operating cost as the two key variables for sensitivity analysis. Four scenarios are constructed:</w:t>
      </w:r>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1417"/>
            <w:shd w:fill="D9E2F3" w:val="clear"/>
          </w:tcPr>
          <w:p>
            <w:pPr>
              <w:jc w:val="center"/>
            </w:pPr>
            <w:r/>
            <w:r>
              <w:rPr>
                <w:rFonts w:ascii="Times New Roman" w:hAnsi="Times New Roman" w:eastAsia="宋体"/>
                <w:b/>
                <w:sz w:val="20"/>
              </w:rPr>
              <w:t>Scenario</w:t>
            </w:r>
          </w:p>
        </w:tc>
        <w:tc>
          <w:tcPr>
            <w:tcW w:type="dxa" w:w="2268"/>
            <w:shd w:fill="D9E2F3" w:val="clear"/>
          </w:tcPr>
          <w:p>
            <w:pPr>
              <w:jc w:val="center"/>
            </w:pPr>
            <w:r/>
            <w:r>
              <w:rPr>
                <w:rFonts w:ascii="Times New Roman" w:hAnsi="Times New Roman" w:eastAsia="宋体"/>
                <w:b/>
                <w:sz w:val="20"/>
              </w:rPr>
              <w:t>Assumptions</w:t>
            </w:r>
          </w:p>
        </w:tc>
        <w:tc>
          <w:tcPr>
            <w:tcW w:type="dxa" w:w="1134"/>
            <w:shd w:fill="D9E2F3" w:val="clear"/>
          </w:tcPr>
          <w:p>
            <w:pPr>
              <w:jc w:val="center"/>
            </w:pPr>
            <w:r/>
            <w:r>
              <w:rPr>
                <w:rFonts w:ascii="Times New Roman" w:hAnsi="Times New Roman" w:eastAsia="宋体"/>
                <w:b/>
                <w:sz w:val="20"/>
              </w:rPr>
              <w:t>NPV</w:t>
              <w:br/>
              <w:t>(RMB 10,000)</w:t>
            </w:r>
          </w:p>
        </w:tc>
        <w:tc>
          <w:tcPr>
            <w:tcW w:type="dxa" w:w="1134"/>
            <w:shd w:fill="D9E2F3" w:val="clear"/>
          </w:tcPr>
          <w:p>
            <w:pPr>
              <w:jc w:val="center"/>
            </w:pPr>
            <w:r/>
            <w:r>
              <w:rPr>
                <w:rFonts w:ascii="Times New Roman" w:hAnsi="Times New Roman" w:eastAsia="宋体"/>
                <w:b/>
                <w:sz w:val="20"/>
              </w:rPr>
              <w:t>IRR</w:t>
            </w:r>
          </w:p>
        </w:tc>
        <w:tc>
          <w:tcPr>
            <w:tcW w:type="dxa" w:w="1134"/>
            <w:shd w:fill="D9E2F3" w:val="clear"/>
          </w:tcPr>
          <w:p>
            <w:pPr>
              <w:jc w:val="center"/>
            </w:pPr>
            <w:r/>
            <w:r>
              <w:rPr>
                <w:rFonts w:ascii="Times New Roman" w:hAnsi="Times New Roman" w:eastAsia="宋体"/>
                <w:b/>
                <w:sz w:val="20"/>
              </w:rPr>
              <w:t>Pₜ'</w:t>
              <w:br/>
              <w:t>(years)</w:t>
            </w:r>
          </w:p>
        </w:tc>
        <w:tc>
          <w:tcPr>
            <w:tcW w:type="dxa" w:w="1984"/>
            <w:shd w:fill="D9E2F3" w:val="clear"/>
          </w:tcPr>
          <w:p>
            <w:pPr>
              <w:jc w:val="center"/>
            </w:pPr>
            <w:r/>
            <w:r>
              <w:rPr>
                <w:rFonts w:ascii="Times New Roman" w:hAnsi="Times New Roman" w:eastAsia="宋体"/>
                <w:b/>
                <w:sz w:val="20"/>
              </w:rPr>
              <w:t>Conclusion</w:t>
            </w:r>
          </w:p>
        </w:tc>
      </w:tr>
      <w:tr>
        <w:tc>
          <w:tcPr>
            <w:tcW w:type="dxa" w:w="1417"/>
          </w:tcPr>
          <w:p>
            <w:pPr>
              <w:jc w:val="left"/>
            </w:pPr>
            <w:r/>
            <w:r>
              <w:rPr>
                <w:rFonts w:ascii="Times New Roman" w:hAnsi="Times New Roman" w:eastAsia="宋体"/>
                <w:b w:val="0"/>
                <w:sz w:val="20"/>
              </w:rPr>
              <w:t>Benchmark</w:t>
            </w:r>
          </w:p>
        </w:tc>
        <w:tc>
          <w:tcPr>
            <w:tcW w:type="dxa" w:w="2268"/>
          </w:tcPr>
          <w:p>
            <w:pPr>
              <w:jc w:val="center"/>
            </w:pPr>
            <w:r/>
            <w:r>
              <w:rPr>
                <w:rFonts w:ascii="Times New Roman" w:hAnsi="Times New Roman" w:eastAsia="宋体"/>
                <w:b w:val="0"/>
                <w:sz w:val="20"/>
              </w:rPr>
              <w:t>Revenue and cost as per baseline</w:t>
            </w:r>
          </w:p>
        </w:tc>
        <w:tc>
          <w:tcPr>
            <w:tcW w:type="dxa" w:w="1134"/>
          </w:tcPr>
          <w:p>
            <w:pPr>
              <w:jc w:val="center"/>
            </w:pPr>
            <w:r/>
            <w:r>
              <w:rPr>
                <w:rFonts w:ascii="Times New Roman" w:hAnsi="Times New Roman" w:eastAsia="宋体"/>
                <w:b w:val="0"/>
                <w:sz w:val="20"/>
              </w:rPr>
              <w:t>43.88</w:t>
            </w:r>
          </w:p>
        </w:tc>
        <w:tc>
          <w:tcPr>
            <w:tcW w:type="dxa" w:w="1134"/>
          </w:tcPr>
          <w:p>
            <w:pPr>
              <w:jc w:val="center"/>
            </w:pPr>
            <w:r/>
            <w:r>
              <w:rPr>
                <w:rFonts w:ascii="Times New Roman" w:hAnsi="Times New Roman" w:eastAsia="宋体"/>
                <w:b w:val="0"/>
                <w:sz w:val="20"/>
              </w:rPr>
              <w:t>70.47%</w:t>
            </w:r>
          </w:p>
        </w:tc>
        <w:tc>
          <w:tcPr>
            <w:tcW w:type="dxa" w:w="1134"/>
          </w:tcPr>
          <w:p>
            <w:pPr>
              <w:jc w:val="center"/>
            </w:pPr>
            <w:r/>
            <w:r>
              <w:rPr>
                <w:rFonts w:ascii="Times New Roman" w:hAnsi="Times New Roman" w:eastAsia="宋体"/>
                <w:b w:val="0"/>
                <w:sz w:val="20"/>
              </w:rPr>
              <w:t>2.33</w:t>
            </w:r>
          </w:p>
        </w:tc>
        <w:tc>
          <w:tcPr>
            <w:tcW w:type="dxa" w:w="1984"/>
          </w:tcPr>
          <w:p>
            <w:pPr>
              <w:jc w:val="center"/>
            </w:pPr>
            <w:r/>
            <w:r>
              <w:rPr>
                <w:rFonts w:ascii="Times New Roman" w:hAnsi="Times New Roman" w:eastAsia="宋体"/>
                <w:b w:val="0"/>
                <w:sz w:val="20"/>
              </w:rPr>
              <w:t>Economically feasible</w:t>
            </w:r>
          </w:p>
        </w:tc>
      </w:tr>
      <w:tr>
        <w:tc>
          <w:tcPr>
            <w:tcW w:type="dxa" w:w="1417"/>
          </w:tcPr>
          <w:p>
            <w:pPr>
              <w:jc w:val="left"/>
            </w:pPr>
            <w:r/>
            <w:r>
              <w:rPr>
                <w:rFonts w:ascii="Times New Roman" w:hAnsi="Times New Roman" w:eastAsia="宋体"/>
                <w:b w:val="0"/>
                <w:sz w:val="20"/>
              </w:rPr>
              <w:t>Conservative</w:t>
            </w:r>
          </w:p>
        </w:tc>
        <w:tc>
          <w:tcPr>
            <w:tcW w:type="dxa" w:w="2268"/>
          </w:tcPr>
          <w:p>
            <w:pPr>
              <w:jc w:val="center"/>
            </w:pPr>
            <w:r/>
            <w:r>
              <w:rPr>
                <w:rFonts w:ascii="Times New Roman" w:hAnsi="Times New Roman" w:eastAsia="宋体"/>
                <w:b w:val="0"/>
                <w:sz w:val="20"/>
              </w:rPr>
              <w:t>Revenue −20%; Cost +10%</w:t>
            </w:r>
          </w:p>
        </w:tc>
        <w:tc>
          <w:tcPr>
            <w:tcW w:type="dxa" w:w="1134"/>
          </w:tcPr>
          <w:p>
            <w:pPr>
              <w:jc w:val="center"/>
            </w:pPr>
            <w:r/>
            <w:r>
              <w:rPr>
                <w:rFonts w:ascii="Times New Roman" w:hAnsi="Times New Roman" w:eastAsia="宋体"/>
                <w:b w:val="0"/>
                <w:sz w:val="20"/>
              </w:rPr>
              <w:t>16.63</w:t>
            </w:r>
          </w:p>
        </w:tc>
        <w:tc>
          <w:tcPr>
            <w:tcW w:type="dxa" w:w="1134"/>
          </w:tcPr>
          <w:p>
            <w:pPr>
              <w:jc w:val="center"/>
            </w:pPr>
            <w:r/>
            <w:r>
              <w:rPr>
                <w:rFonts w:ascii="Times New Roman" w:hAnsi="Times New Roman" w:eastAsia="宋体"/>
                <w:b w:val="0"/>
                <w:sz w:val="20"/>
              </w:rPr>
              <w:t>37.57%</w:t>
            </w:r>
          </w:p>
        </w:tc>
        <w:tc>
          <w:tcPr>
            <w:tcW w:type="dxa" w:w="1134"/>
          </w:tcPr>
          <w:p>
            <w:pPr>
              <w:jc w:val="center"/>
            </w:pPr>
            <w:r/>
            <w:r>
              <w:rPr>
                <w:rFonts w:ascii="Times New Roman" w:hAnsi="Times New Roman" w:eastAsia="宋体"/>
                <w:b w:val="0"/>
                <w:sz w:val="20"/>
              </w:rPr>
              <w:t>3.47</w:t>
            </w:r>
          </w:p>
        </w:tc>
        <w:tc>
          <w:tcPr>
            <w:tcW w:type="dxa" w:w="1984"/>
          </w:tcPr>
          <w:p>
            <w:pPr>
              <w:jc w:val="center"/>
            </w:pPr>
            <w:r/>
            <w:r>
              <w:rPr>
                <w:rFonts w:ascii="Times New Roman" w:hAnsi="Times New Roman" w:eastAsia="宋体"/>
                <w:b w:val="0"/>
                <w:sz w:val="20"/>
              </w:rPr>
              <w:t>Still feasible; NPV remains positive</w:t>
            </w:r>
          </w:p>
        </w:tc>
      </w:tr>
      <w:tr>
        <w:tc>
          <w:tcPr>
            <w:tcW w:type="dxa" w:w="1417"/>
          </w:tcPr>
          <w:p>
            <w:pPr>
              <w:jc w:val="left"/>
            </w:pPr>
            <w:r/>
            <w:r>
              <w:rPr>
                <w:rFonts w:ascii="Times New Roman" w:hAnsi="Times New Roman" w:eastAsia="宋体"/>
                <w:b w:val="0"/>
                <w:sz w:val="20"/>
              </w:rPr>
              <w:t>Optimistic</w:t>
            </w:r>
          </w:p>
        </w:tc>
        <w:tc>
          <w:tcPr>
            <w:tcW w:type="dxa" w:w="2268"/>
          </w:tcPr>
          <w:p>
            <w:pPr>
              <w:jc w:val="center"/>
            </w:pPr>
            <w:r/>
            <w:r>
              <w:rPr>
                <w:rFonts w:ascii="Times New Roman" w:hAnsi="Times New Roman" w:eastAsia="宋体"/>
                <w:b w:val="0"/>
                <w:sz w:val="20"/>
              </w:rPr>
              <w:t>Revenue +20%; Cost −5%</w:t>
            </w:r>
          </w:p>
        </w:tc>
        <w:tc>
          <w:tcPr>
            <w:tcW w:type="dxa" w:w="1134"/>
          </w:tcPr>
          <w:p>
            <w:pPr>
              <w:jc w:val="center"/>
            </w:pPr>
            <w:r/>
            <w:r>
              <w:rPr>
                <w:rFonts w:ascii="Times New Roman" w:hAnsi="Times New Roman" w:eastAsia="宋体"/>
                <w:b w:val="0"/>
                <w:sz w:val="20"/>
              </w:rPr>
              <w:t>68.11</w:t>
            </w:r>
          </w:p>
        </w:tc>
        <w:tc>
          <w:tcPr>
            <w:tcW w:type="dxa" w:w="1134"/>
          </w:tcPr>
          <w:p>
            <w:pPr>
              <w:jc w:val="center"/>
            </w:pPr>
            <w:r/>
            <w:r>
              <w:rPr>
                <w:rFonts w:ascii="Times New Roman" w:hAnsi="Times New Roman" w:eastAsia="宋体"/>
                <w:b w:val="0"/>
                <w:sz w:val="20"/>
              </w:rPr>
              <w:t>94.00%</w:t>
            </w:r>
          </w:p>
        </w:tc>
        <w:tc>
          <w:tcPr>
            <w:tcW w:type="dxa" w:w="1134"/>
          </w:tcPr>
          <w:p>
            <w:pPr>
              <w:jc w:val="center"/>
            </w:pPr>
            <w:r/>
            <w:r>
              <w:rPr>
                <w:rFonts w:ascii="Times New Roman" w:hAnsi="Times New Roman" w:eastAsia="宋体"/>
                <w:b w:val="0"/>
                <w:sz w:val="20"/>
              </w:rPr>
              <w:t>1.88</w:t>
            </w:r>
          </w:p>
        </w:tc>
        <w:tc>
          <w:tcPr>
            <w:tcW w:type="dxa" w:w="1984"/>
          </w:tcPr>
          <w:p>
            <w:pPr>
              <w:jc w:val="center"/>
            </w:pPr>
            <w:r/>
            <w:r>
              <w:rPr>
                <w:rFonts w:ascii="Times New Roman" w:hAnsi="Times New Roman" w:eastAsia="宋体"/>
                <w:b w:val="0"/>
                <w:sz w:val="20"/>
              </w:rPr>
              <w:t>Strong returns; rapid capital recovery</w:t>
            </w:r>
          </w:p>
        </w:tc>
      </w:tr>
      <w:tr>
        <w:tc>
          <w:tcPr>
            <w:tcW w:type="dxa" w:w="1417"/>
          </w:tcPr>
          <w:p>
            <w:pPr>
              <w:jc w:val="left"/>
            </w:pPr>
            <w:r/>
            <w:r>
              <w:rPr>
                <w:rFonts w:ascii="Times New Roman" w:hAnsi="Times New Roman" w:eastAsia="宋体"/>
                <w:b w:val="0"/>
                <w:sz w:val="20"/>
              </w:rPr>
              <w:t>Stress Test</w:t>
            </w:r>
          </w:p>
        </w:tc>
        <w:tc>
          <w:tcPr>
            <w:tcW w:type="dxa" w:w="2268"/>
          </w:tcPr>
          <w:p>
            <w:pPr>
              <w:jc w:val="center"/>
            </w:pPr>
            <w:r/>
            <w:r>
              <w:rPr>
                <w:rFonts w:ascii="Times New Roman" w:hAnsi="Times New Roman" w:eastAsia="宋体"/>
                <w:b w:val="0"/>
                <w:sz w:val="20"/>
              </w:rPr>
              <w:t>Revenue −30%; Cost +15%</w:t>
            </w:r>
          </w:p>
        </w:tc>
        <w:tc>
          <w:tcPr>
            <w:tcW w:type="dxa" w:w="1134"/>
          </w:tcPr>
          <w:p>
            <w:pPr>
              <w:jc w:val="center"/>
            </w:pPr>
            <w:r/>
            <w:r>
              <w:rPr>
                <w:rFonts w:ascii="Times New Roman" w:hAnsi="Times New Roman" w:eastAsia="宋体"/>
                <w:b w:val="0"/>
                <w:sz w:val="20"/>
              </w:rPr>
              <w:t>2.75</w:t>
            </w:r>
          </w:p>
        </w:tc>
        <w:tc>
          <w:tcPr>
            <w:tcW w:type="dxa" w:w="1134"/>
          </w:tcPr>
          <w:p>
            <w:pPr>
              <w:jc w:val="center"/>
            </w:pPr>
            <w:r/>
            <w:r>
              <w:rPr>
                <w:rFonts w:ascii="Times New Roman" w:hAnsi="Times New Roman" w:eastAsia="宋体"/>
                <w:b w:val="0"/>
                <w:sz w:val="20"/>
              </w:rPr>
              <w:t>15.29%</w:t>
            </w:r>
          </w:p>
        </w:tc>
        <w:tc>
          <w:tcPr>
            <w:tcW w:type="dxa" w:w="1134"/>
          </w:tcPr>
          <w:p>
            <w:pPr>
              <w:jc w:val="center"/>
            </w:pPr>
            <w:r/>
            <w:r>
              <w:rPr>
                <w:rFonts w:ascii="Times New Roman" w:hAnsi="Times New Roman" w:eastAsia="宋体"/>
                <w:b w:val="0"/>
                <w:sz w:val="20"/>
              </w:rPr>
              <w:t>4.65</w:t>
            </w:r>
          </w:p>
        </w:tc>
        <w:tc>
          <w:tcPr>
            <w:tcW w:type="dxa" w:w="1984"/>
          </w:tcPr>
          <w:p>
            <w:pPr>
              <w:jc w:val="center"/>
            </w:pPr>
            <w:r/>
            <w:r>
              <w:rPr>
                <w:rFonts w:ascii="Times New Roman" w:hAnsi="Times New Roman" w:eastAsia="宋体"/>
                <w:b w:val="0"/>
                <w:sz w:val="20"/>
              </w:rPr>
              <w:t>Near critical threshold; NPV still &gt; 0</w:t>
            </w:r>
          </w:p>
        </w:tc>
      </w:tr>
    </w:tbl>
    <w:p/>
    <w:p>
      <w:r>
        <w:rPr>
          <w:rFonts w:ascii="Times New Roman" w:hAnsi="Times New Roman" w:eastAsia="宋体"/>
          <w:b w:val="0"/>
          <w:sz w:val="24"/>
        </w:rPr>
        <w:t>Sensitivity analysis insights: The most sensitive factors affecting project viability are paid conversion rate and model API invocation cost. If users only trial the product briefly without forming a long-term companionship relationship, subscription revenue will decline significantly. If users engage in high-frequency conversations without summary compression and invocation quota constraints, operating costs will escalate rapidly. Therefore, the immediate next-stage priorities should be validating retention rate, companionship effectiveness, and per-user model cost through seed-user testing.</w:t>
      </w:r>
    </w:p>
    <w:p>
      <w:r>
        <w:rPr>
          <w:rFonts w:ascii="Times New Roman" w:hAnsi="Times New Roman" w:eastAsia="宋体"/>
          <w:b w:val="0"/>
          <w:sz w:val="24"/>
        </w:rPr>
        <w:t>Notably, even under the stress scenario (revenue −30%, cost +15%), the NPV remains positive at RMB 27,500, and the IRR of 15.29% still exceeds the 10% benchmark. This indicates that HeartCompass possesses a reasonable margin of safety in its financial projections, largely attributable to its modest initial investment requirement and the high operating leverage characteristic of AI-native SaaS products.</w:t>
      </w:r>
    </w:p>
    <w:p>
      <w:pPr>
        <w:pStyle w:val="Heading1"/>
      </w:pPr>
      <w:r>
        <w:rPr>
          <w:rFonts w:ascii="Times New Roman" w:hAnsi="Times New Roman" w:eastAsia="黑体"/>
        </w:rPr>
        <w:t>VIII. Economic Feasibility and Risk Evaluation</w:t>
      </w:r>
    </w:p>
    <w:p>
      <w:pPr>
        <w:pStyle w:val="Heading2"/>
      </w:pPr>
      <w:r>
        <w:rPr>
          <w:rFonts w:ascii="Times New Roman" w:hAnsi="Times New Roman" w:eastAsia="黑体"/>
        </w:rPr>
        <w:t>8.1 Feasibility Conclusion</w:t>
      </w:r>
    </w:p>
    <w:p>
      <w:r>
        <w:rPr>
          <w:rFonts w:ascii="Times New Roman" w:hAnsi="Times New Roman" w:eastAsia="宋体"/>
          <w:b w:val="0"/>
          <w:sz w:val="24"/>
        </w:rPr>
        <w:t>Based on the financial calculation results and the technical foundation established by the course project, this report concludes that HeartCompass possesses economic feasibility for continued advancement beyond the MVP stage. The main supporting reasons are:</w:t>
      </w:r>
    </w:p>
    <w:p>
      <w:r>
        <w:rPr>
          <w:rFonts w:ascii="Times New Roman" w:hAnsi="Times New Roman" w:eastAsia="宋体"/>
          <w:b w:val="0"/>
          <w:sz w:val="24"/>
        </w:rPr>
        <w:t>1. Focused project positioning: HeartCompass is built around the "digital companion persona" rather than a generalized AI tool, making the target demand more concrete and addressable.</w:t>
        <w:br/>
        <w:t>2. Modest initial investment: With a total investment of RMB 120,000, the project's capital requirement is manageable for seed-stage validation. Existing code, deployment workflows, bot entry points, and long-term memory prototypes are already delivered.</w:t>
        <w:br/>
        <w:t>3. Revenue model aligned with genuine needs: Personal companionship, deep companionship, family/group sharing, and customized commemorative archives correspond to distinct paid tiers with differentiated value propositions.</w:t>
        <w:br/>
        <w:t>4. Financial indicators meet acceptance criteria: Under the benchmark scenario, NPV &gt; 0, IRR (70.47%) &gt;&gt; benchmark discount rate (10%), and dynamic payback period (2.33 years) &lt; project lifecycle (5 years).</w:t>
        <w:br/>
        <w:t>5. Adequate safety margin: Even under the conservative and stress scenarios, NPV remains positive, indicating that the project can withstand moderate adverse deviations.</w:t>
      </w:r>
    </w:p>
    <w:p>
      <w:pPr>
        <w:pStyle w:val="Heading2"/>
      </w:pPr>
      <w:r>
        <w:rPr>
          <w:rFonts w:ascii="Times New Roman" w:hAnsi="Times New Roman" w:eastAsia="黑体"/>
        </w:rPr>
        <w:t>8.2 Main Risks and Mitigation Measures</w:t>
      </w:r>
    </w:p>
    <w:tbl>
      <w:tblPr>
        <w:tblStyle w:val="TableGrid"/>
        <w:tblW w:type="auto" w:w="0"/>
        <w:jc w:val="center"/>
        <w:tblLook w:firstColumn="1" w:firstRow="1" w:lastColumn="0" w:lastRow="0" w:noHBand="0" w:noVBand="1" w:val="04A0"/>
      </w:tblPr>
      <w:tblGrid>
        <w:gridCol w:w="2878"/>
        <w:gridCol w:w="2878"/>
        <w:gridCol w:w="2878"/>
      </w:tblGrid>
      <w:tr>
        <w:tc>
          <w:tcPr>
            <w:tcW w:type="dxa" w:w="1701"/>
            <w:shd w:fill="D9E2F3" w:val="clear"/>
          </w:tcPr>
          <w:p>
            <w:pPr>
              <w:jc w:val="center"/>
            </w:pPr>
            <w:r/>
            <w:r>
              <w:rPr>
                <w:rFonts w:ascii="Times New Roman" w:hAnsi="Times New Roman" w:eastAsia="宋体"/>
                <w:b/>
                <w:sz w:val="20"/>
              </w:rPr>
              <w:t>Risk Category</w:t>
            </w:r>
          </w:p>
        </w:tc>
        <w:tc>
          <w:tcPr>
            <w:tcW w:type="dxa" w:w="3118"/>
            <w:shd w:fill="D9E2F3" w:val="clear"/>
          </w:tcPr>
          <w:p>
            <w:pPr>
              <w:jc w:val="center"/>
            </w:pPr>
            <w:r/>
            <w:r>
              <w:rPr>
                <w:rFonts w:ascii="Times New Roman" w:hAnsi="Times New Roman" w:eastAsia="宋体"/>
                <w:b/>
                <w:sz w:val="20"/>
              </w:rPr>
              <w:t>Specific Manifestation</w:t>
            </w:r>
          </w:p>
        </w:tc>
        <w:tc>
          <w:tcPr>
            <w:tcW w:type="dxa" w:w="4252"/>
            <w:shd w:fill="D9E2F3" w:val="clear"/>
          </w:tcPr>
          <w:p>
            <w:pPr>
              <w:jc w:val="center"/>
            </w:pPr>
            <w:r/>
            <w:r>
              <w:rPr>
                <w:rFonts w:ascii="Times New Roman" w:hAnsi="Times New Roman" w:eastAsia="宋体"/>
                <w:b/>
                <w:sz w:val="20"/>
              </w:rPr>
              <w:t>Mitigation Strategy</w:t>
            </w:r>
          </w:p>
        </w:tc>
      </w:tr>
      <w:tr>
        <w:tc>
          <w:tcPr>
            <w:tcW w:type="dxa" w:w="1701"/>
          </w:tcPr>
          <w:p>
            <w:pPr>
              <w:jc w:val="left"/>
            </w:pPr>
            <w:r/>
            <w:r>
              <w:rPr>
                <w:rFonts w:ascii="Times New Roman" w:hAnsi="Times New Roman" w:eastAsia="宋体"/>
                <w:b w:val="0"/>
                <w:sz w:val="20"/>
              </w:rPr>
              <w:t>Demand Risk</w:t>
            </w:r>
          </w:p>
        </w:tc>
        <w:tc>
          <w:tcPr>
            <w:tcW w:type="dxa" w:w="3118"/>
          </w:tcPr>
          <w:p>
            <w:pPr>
              <w:jc w:val="center"/>
            </w:pPr>
            <w:r/>
            <w:r>
              <w:rPr>
                <w:rFonts w:ascii="Times New Roman" w:hAnsi="Times New Roman" w:eastAsia="宋体"/>
                <w:b w:val="0"/>
                <w:sz w:val="20"/>
              </w:rPr>
              <w:t>Users may find the digital companion persona novel initially but not form sustained usage habits</w:t>
            </w:r>
          </w:p>
        </w:tc>
        <w:tc>
          <w:tcPr>
            <w:tcW w:type="dxa" w:w="4252"/>
          </w:tcPr>
          <w:p>
            <w:pPr>
              <w:jc w:val="center"/>
            </w:pPr>
            <w:r/>
            <w:r>
              <w:rPr>
                <w:rFonts w:ascii="Times New Roman" w:hAnsi="Times New Roman" w:eastAsia="宋体"/>
                <w:b w:val="0"/>
                <w:sz w:val="20"/>
              </w:rPr>
              <w:t>Validate real companionship needs through seed-user testing; iterate based on retention metrics</w:t>
            </w:r>
          </w:p>
        </w:tc>
      </w:tr>
      <w:tr>
        <w:tc>
          <w:tcPr>
            <w:tcW w:type="dxa" w:w="1701"/>
          </w:tcPr>
          <w:p>
            <w:pPr>
              <w:jc w:val="left"/>
            </w:pPr>
            <w:r/>
            <w:r>
              <w:rPr>
                <w:rFonts w:ascii="Times New Roman" w:hAnsi="Times New Roman" w:eastAsia="宋体"/>
                <w:b w:val="0"/>
                <w:sz w:val="20"/>
              </w:rPr>
              <w:t>Cost Risk</w:t>
            </w:r>
          </w:p>
        </w:tc>
        <w:tc>
          <w:tcPr>
            <w:tcW w:type="dxa" w:w="3118"/>
          </w:tcPr>
          <w:p>
            <w:pPr>
              <w:jc w:val="center"/>
            </w:pPr>
            <w:r/>
            <w:r>
              <w:rPr>
                <w:rFonts w:ascii="Times New Roman" w:hAnsi="Times New Roman" w:eastAsia="宋体"/>
                <w:b w:val="0"/>
                <w:sz w:val="20"/>
              </w:rPr>
              <w:t>High model API invocation frequency may compress margins</w:t>
            </w:r>
          </w:p>
        </w:tc>
        <w:tc>
          <w:tcPr>
            <w:tcW w:type="dxa" w:w="4252"/>
          </w:tcPr>
          <w:p>
            <w:pPr>
              <w:jc w:val="center"/>
            </w:pPr>
            <w:r/>
            <w:r>
              <w:rPr>
                <w:rFonts w:ascii="Times New Roman" w:hAnsi="Times New Roman" w:eastAsia="宋体"/>
                <w:b w:val="0"/>
                <w:sz w:val="20"/>
              </w:rPr>
              <w:t>Implement invocation quotas, summary compression, prompt caching, and tiered model routing</w:t>
            </w:r>
          </w:p>
        </w:tc>
      </w:tr>
      <w:tr>
        <w:tc>
          <w:tcPr>
            <w:tcW w:type="dxa" w:w="1701"/>
          </w:tcPr>
          <w:p>
            <w:pPr>
              <w:jc w:val="left"/>
            </w:pPr>
            <w:r/>
            <w:r>
              <w:rPr>
                <w:rFonts w:ascii="Times New Roman" w:hAnsi="Times New Roman" w:eastAsia="宋体"/>
                <w:b w:val="0"/>
                <w:sz w:val="20"/>
              </w:rPr>
              <w:t>Experience Risk</w:t>
            </w:r>
          </w:p>
        </w:tc>
        <w:tc>
          <w:tcPr>
            <w:tcW w:type="dxa" w:w="3118"/>
          </w:tcPr>
          <w:p>
            <w:pPr>
              <w:jc w:val="center"/>
            </w:pPr>
            <w:r/>
            <w:r>
              <w:rPr>
                <w:rFonts w:ascii="Times New Roman" w:hAnsi="Times New Roman" w:eastAsia="宋体"/>
                <w:b w:val="0"/>
                <w:sz w:val="20"/>
              </w:rPr>
              <w:t>Unstable persona profiles or discontinuous responses degrade user trust</w:t>
            </w:r>
          </w:p>
        </w:tc>
        <w:tc>
          <w:tcPr>
            <w:tcW w:type="dxa" w:w="4252"/>
          </w:tcPr>
          <w:p>
            <w:pPr>
              <w:jc w:val="center"/>
            </w:pPr>
            <w:r/>
            <w:r>
              <w:rPr>
                <w:rFonts w:ascii="Times New Roman" w:hAnsi="Times New Roman" w:eastAsia="宋体"/>
                <w:b w:val="0"/>
                <w:sz w:val="20"/>
              </w:rPr>
              <w:t>Optimize memory update algorithms, profile synchronization, and conversation quality monitoring</w:t>
            </w:r>
          </w:p>
        </w:tc>
      </w:tr>
      <w:tr>
        <w:tc>
          <w:tcPr>
            <w:tcW w:type="dxa" w:w="1701"/>
          </w:tcPr>
          <w:p>
            <w:pPr>
              <w:jc w:val="left"/>
            </w:pPr>
            <w:r/>
            <w:r>
              <w:rPr>
                <w:rFonts w:ascii="Times New Roman" w:hAnsi="Times New Roman" w:eastAsia="宋体"/>
                <w:b w:val="0"/>
                <w:sz w:val="20"/>
              </w:rPr>
              <w:t>Privacy &amp;</w:t>
              <w:br/>
              <w:t>Compliance Risk</w:t>
            </w:r>
          </w:p>
        </w:tc>
        <w:tc>
          <w:tcPr>
            <w:tcW w:type="dxa" w:w="3118"/>
          </w:tcPr>
          <w:p>
            <w:pPr>
              <w:jc w:val="center"/>
            </w:pPr>
            <w:r/>
            <w:r>
              <w:rPr>
                <w:rFonts w:ascii="Times New Roman" w:hAnsi="Times New Roman" w:eastAsia="宋体"/>
                <w:b w:val="0"/>
                <w:sz w:val="20"/>
              </w:rPr>
              <w:t>System handles personal memories, chat records, and persona profiles</w:t>
            </w:r>
          </w:p>
        </w:tc>
        <w:tc>
          <w:tcPr>
            <w:tcW w:type="dxa" w:w="4252"/>
          </w:tcPr>
          <w:p>
            <w:pPr>
              <w:jc w:val="center"/>
            </w:pPr>
            <w:r/>
            <w:r>
              <w:rPr>
                <w:rFonts w:ascii="Times New Roman" w:hAnsi="Times New Roman" w:eastAsia="宋体"/>
                <w:b w:val="0"/>
                <w:sz w:val="20"/>
              </w:rPr>
              <w:t>Strengthen authorization flows, data encryption, deletion mechanisms, and privacy documentation</w:t>
            </w:r>
          </w:p>
        </w:tc>
      </w:tr>
      <w:tr>
        <w:tc>
          <w:tcPr>
            <w:tcW w:type="dxa" w:w="1701"/>
          </w:tcPr>
          <w:p>
            <w:pPr>
              <w:jc w:val="left"/>
            </w:pPr>
            <w:r/>
            <w:r>
              <w:rPr>
                <w:rFonts w:ascii="Times New Roman" w:hAnsi="Times New Roman" w:eastAsia="宋体"/>
                <w:b w:val="0"/>
                <w:sz w:val="20"/>
              </w:rPr>
              <w:t>Operations Risk</w:t>
            </w:r>
          </w:p>
        </w:tc>
        <w:tc>
          <w:tcPr>
            <w:tcW w:type="dxa" w:w="3118"/>
          </w:tcPr>
          <w:p>
            <w:pPr>
              <w:jc w:val="center"/>
            </w:pPr>
            <w:r/>
            <w:r>
              <w:rPr>
                <w:rFonts w:ascii="Times New Roman" w:hAnsi="Times New Roman" w:eastAsia="宋体"/>
                <w:b w:val="0"/>
                <w:sz w:val="20"/>
              </w:rPr>
              <w:t>Long-term operation requires sustained server and database maintenance</w:t>
            </w:r>
          </w:p>
        </w:tc>
        <w:tc>
          <w:tcPr>
            <w:tcW w:type="dxa" w:w="4252"/>
          </w:tcPr>
          <w:p>
            <w:pPr>
              <w:jc w:val="center"/>
            </w:pPr>
            <w:r/>
            <w:r>
              <w:rPr>
                <w:rFonts w:ascii="Times New Roman" w:hAnsi="Times New Roman" w:eastAsia="宋体"/>
                <w:b w:val="0"/>
                <w:sz w:val="20"/>
              </w:rPr>
              <w:t>Provide Dockerized one-click deployment, automated health checks, monitoring, and logging</w:t>
            </w:r>
          </w:p>
        </w:tc>
      </w:tr>
    </w:tbl>
    <w:p/>
    <w:p>
      <w:pPr>
        <w:pStyle w:val="Heading1"/>
      </w:pPr>
      <w:r>
        <w:rPr>
          <w:rFonts w:ascii="Times New Roman" w:hAnsi="Times New Roman" w:eastAsia="黑体"/>
        </w:rPr>
        <w:t>IX. Thinking Question: Evaluating Software Projects Without Cash Income</w:t>
      </w:r>
    </w:p>
    <w:p>
      <w:r>
        <w:rPr>
          <w:rFonts w:ascii="Times New Roman" w:hAnsi="Times New Roman" w:eastAsia="宋体"/>
          <w:b w:val="0"/>
          <w:sz w:val="24"/>
        </w:rPr>
        <w:t>If a software project generates no direct cash income, its value cannot be assessed solely through operating revenue, profit, and investment payback period. Instead, a combination of cost-benefit analysis, cost-effectiveness analysis, and multi-criteria comprehensive evaluation methods should be employed:</w:t>
      </w:r>
    </w:p>
    <w:p>
      <w:r>
        <w:rPr>
          <w:rFonts w:ascii="Times New Roman" w:hAnsi="Times New Roman" w:eastAsia="宋体"/>
          <w:b w:val="0"/>
          <w:sz w:val="24"/>
        </w:rPr>
        <w:t>1. Cost-Saving Method (成本节约法): Estimate the labor hours, equipment costs, travel expenses, paper materials, and repeated communication overhead saved after the project is deployed. The saved cost is treated as the project's economic benefit. For example, an internal automation tool may not generate revenue but can eliminate manual processing costs.</w:t>
        <w:br/>
        <w:br/>
        <w:t>2. Efficiency-Improvement Method (效率提升法): Measure reductions in business process cycle time, error rates, and response latency, as well as increases in processing throughput. Convert these efficiency gains into monetary equivalents using labor cost rates.</w:t>
        <w:br/>
        <w:br/>
        <w:t>3. Social Benefit Evaluation (社会效益评估): For public-welfare, educational, healthcare, and government projects, evaluate non-cash benefits such as service coverage expansion, user satisfaction improvement, risk reduction, public resource savings, and social equity enhancement.</w:t>
        <w:br/>
        <w:br/>
        <w:t>4. Multi-Criteria Decision-Making (多准则决策): Apply methods such as the Analytic Hierarchy Process (AHP), expert scoring, and TOPSIS to comprehensively score the project across dimensions including security, usability, maintainability, social value, and strategic alignment.</w:t>
        <w:br/>
        <w:br/>
        <w:t>5. Replacement-Cost Method (重置成本法): Estimate the cost of purchasing equivalent third-party systems, hiring additional personnel, or outsourcing services if the software were not developed. This avoided cost represents the implicit benefit of the project.</w:t>
      </w:r>
    </w:p>
    <w:p>
      <w:r>
        <w:rPr>
          <w:rFonts w:ascii="Times New Roman" w:hAnsi="Times New Roman" w:eastAsia="宋体"/>
          <w:b w:val="0"/>
          <w:sz w:val="24"/>
        </w:rPr>
        <w:t>For a digital companion persona project such as HeartCompass, even in the absence of short-term direct cash income, its comprehensive benefits can still be evaluated across multiple dimensions: the preservation value of personal and family memories, the number of users covered by companionship services, user retention and engagement metrics, reduction in repeated communication overhead, improvement in personal knowledge reuse efficiency, and the degree of privacy risk mitigation. These non-monetary indicators collectively form a holistic picture of the project's value proposition and can serve as the basis for cost-effectiveness comparisons against alternative approaches.</w:t>
      </w:r>
    </w:p>
    <w:p>
      <w:pPr>
        <w:pStyle w:val="Heading1"/>
      </w:pPr>
      <w:r>
        <w:rPr>
          <w:rFonts w:ascii="Times New Roman" w:hAnsi="Times New Roman" w:eastAsia="黑体"/>
        </w:rPr>
        <w:t>X. Experimental Learning Experience</w:t>
      </w:r>
    </w:p>
    <w:p>
      <w:r>
        <w:rPr>
          <w:rFonts w:ascii="Times New Roman" w:hAnsi="Times New Roman" w:eastAsia="宋体"/>
          <w:b w:val="0"/>
          <w:sz w:val="24"/>
        </w:rPr>
        <w:t>Through this experiment, I gained a systematic understanding that the economic evaluation of a software project is far more than a simple development cost estimate. It requires integrating the technical solution, user needs, business model, operating cost structure, tax policy, depreciation and amortization schedules, and multi-year cash flow projections into a single coherent financial model. For an AI-driven digital companion persona project like HeartCompass, what ultimately determines economic feasibility is not whether the project can invoke a large language model, but whether users can form a sustained companionship relationship with the system, and whether the per-user model inference cost can be controlled within viable margins.</w:t>
      </w:r>
    </w:p>
    <w:p>
      <w:r>
        <w:rPr>
          <w:rFonts w:ascii="Times New Roman" w:hAnsi="Times New Roman" w:eastAsia="宋体"/>
          <w:b w:val="0"/>
          <w:sz w:val="24"/>
        </w:rPr>
        <w:t>This experiment also deepened my understanding of the interconnections among financial statements. The investment estimation table determines the Year 0 cash outflow. The revenue and cost tables determine operating profit. The tax schedule affects net profit. Depreciation and amortization reduce accounting profit but are non-cash items that must be added back in the cash flow statement. Finally, NPV, IRR, and the dynamic payback period are derived through discounted cash flow analysis. Understanding these linkages is essential for constructing a logically consistent and computationally correct evaluation model.</w:t>
      </w:r>
    </w:p>
    <w:p>
      <w:r>
        <w:rPr>
          <w:rFonts w:ascii="Times New Roman" w:hAnsi="Times New Roman" w:eastAsia="宋体"/>
          <w:b w:val="0"/>
          <w:sz w:val="24"/>
        </w:rPr>
        <w:t>To make the parameter mapping relationships among financial tables explicit, I summarize the key data flows as follows: (1) The Investment Estimation Table (Table 5.2) feeds its Total Project Investment (RMB 120,000) into the Cash Flow Statement as the Year 0 outflow. (2) The Fixed Asset Depreciation Table and Intangible Asset Amortization Table (Table 5.4) feed annual depreciation (RMB 3,000) and amortization (RMB 13,000) into the Total Cost Table (Table 6.3) and are subsequently added back in the Cash Flow Statement as non-cash items. (3) The Operating Revenue Table (Table 6.1) feeds into both the VAT &amp; Surcharge Table (Table 6.2) — where VAT = Revenue × 6% and Surcharges = VAT × 12% — and directly into the Cash Flow Statement as cash inflow. (4) Total Profit = Operating Revenue − Total Costs − Surcharges; Income Tax = Total Profit × 25%; Net Profit = Total Profit − Income Tax. (5) Operating Net Cash Flow = Net Profit + Depreciation &amp; Amortization + Working Capital Recovery. (6) NPV is the sum of discounted net cash flows at i = 10%; IRR is the rate where NPV = 0; the Dynamic Payback Period is the point where cumulative discounted net cash flow turns positive. Understanding this chain — from investment → cost/revenue → tax → profit → cash flow → NPV/IRR/Payback — is the core skill of software project economical evaluation.</w:t>
      </w:r>
    </w:p>
    <w:p>
      <w:r>
        <w:rPr>
          <w:rFonts w:ascii="Times New Roman" w:hAnsi="Times New Roman" w:eastAsia="宋体"/>
          <w:b w:val="0"/>
          <w:sz w:val="24"/>
        </w:rPr>
        <w:t>From the perspective of the HeartCompass project specifically, the economic evaluation exercise made me more clearly aware that if the course project is to be further developed, the focus should not be on demonstrating technical stack completeness alone. Rather, the project must return to concrete user needs: why users need a digital companion persona, what memories they are willing to entrust to the system, what companionship capabilities they are willing to pay for, and how to balance privacy protection with cost control. The sensitivity analysis further reinforces that retention rate and unit economics (per-user model cost) are the two most critical operational metrics to validate in the next stage.</w:t>
      </w:r>
    </w:p>
    <w:p>
      <w:r>
        <w:rPr>
          <w:rFonts w:ascii="Times New Roman" w:hAnsi="Times New Roman" w:eastAsia="宋体"/>
          <w:b w:val="0"/>
          <w:sz w:val="24"/>
        </w:rPr>
        <w:t>In terms of methodology, I learned to apply the NESMA function point analysis framework for software size measurement, the WBS-driven backward tracking method for cost validation, and the discounted cash flow model for investment decision-making. The dual-track cross-validation between NESMA FP (54 FP) and WBS hours (298 h) with only 5.20% variance was particularly instructive — it demonstrated that rigorous software measurement can produce highly consistent results across independent estimation approaches, which is essential for credible economic evaluation in both academic and industrial contexts.</w:t>
      </w:r>
    </w:p>
    <w:p>
      <w:r>
        <w:rPr>
          <w:rFonts w:ascii="Times New Roman" w:hAnsi="Times New Roman" w:eastAsia="宋体"/>
          <w:b w:val="0"/>
          <w:sz w:val="24"/>
        </w:rPr>
        <w:t>Finally, this experiment helped me appreciate the importance of national standards and industry parameters in software engineering economics. The benchmark discount rate (10%), tax rates (6% VAT, 25% CIT), and depreciation/amortization rules (5-year straight-line) are not arbitrary choices but are grounded in the "Economic Evaluation Methods and Parameters for Construction Projects (Third Edition)" and current PRC tax regulations. Aligning the evaluation model with these standards ensures that the analysis is not only internally consistent but also comparable and auditable by external stakeholders.</w:t>
      </w:r>
    </w:p>
    <w:p>
      <w:pPr>
        <w:pStyle w:val="Heading1"/>
      </w:pPr>
      <w:r>
        <w:rPr>
          <w:rFonts w:ascii="Times New Roman" w:hAnsi="Times New Roman" w:eastAsia="黑体"/>
        </w:rPr>
        <w:t>References</w:t>
      </w:r>
    </w:p>
    <w:p>
      <w:r>
        <w:rPr>
          <w:rFonts w:ascii="Times New Roman" w:hAnsi="Times New Roman" w:eastAsia="宋体"/>
          <w:b w:val="0"/>
          <w:sz w:val="20"/>
        </w:rPr>
        <w:t>[1] National Development and Reform Commission, Ministry of Construction. Economic Evaluation Methods and Parameters for Construction Projects (Third Edition) [M]. Beijing: China Planning Press, 2006: 13-19.</w:t>
      </w:r>
    </w:p>
    <w:p>
      <w:r>
        <w:rPr>
          <w:rFonts w:ascii="Times New Roman" w:hAnsi="Times New Roman" w:eastAsia="宋体"/>
          <w:b w:val="0"/>
          <w:sz w:val="20"/>
        </w:rPr>
        <w:t>[2] China Software Industry Association. 2024 China Software Industry Benchmark Data (CSBMK-202410). Beijing, 2024.</w:t>
      </w:r>
    </w:p>
    <w:p>
      <w:r>
        <w:rPr>
          <w:rFonts w:ascii="Times New Roman" w:hAnsi="Times New Roman" w:eastAsia="宋体"/>
          <w:b w:val="0"/>
          <w:sz w:val="20"/>
        </w:rPr>
        <w:t>[3] NESMA. NESMA Function Point Analysis Standards — Comprehensive Functional Size Measurement Guidelines. Netherlands Software Metrics Association, 2018.</w:t>
      </w:r>
    </w:p>
    <w:p>
      <w:r>
        <w:rPr>
          <w:rFonts w:ascii="Times New Roman" w:hAnsi="Times New Roman" w:eastAsia="宋体"/>
          <w:b w:val="0"/>
          <w:sz w:val="20"/>
        </w:rPr>
        <w:t>[4] Public information on PRC tax administration: Corporate Income Tax Law, Value-Added Tax regulations, and related software service tax policies.</w:t>
      </w:r>
    </w:p>
    <w:p>
      <w:r>
        <w:rPr>
          <w:rFonts w:ascii="Times New Roman" w:hAnsi="Times New Roman" w:eastAsia="宋体"/>
          <w:b w:val="0"/>
          <w:sz w:val="20"/>
        </w:rPr>
        <w:t>[5] HeartCompass Course Project Repository. https://github.com/Jackey0903/HeartCompass.</w:t>
      </w:r>
    </w:p>
    <w:p>
      <w:r>
        <w:rPr>
          <w:rFonts w:ascii="Times New Roman" w:hAnsi="Times New Roman" w:eastAsia="宋体"/>
          <w:b w:val="0"/>
          <w:sz w:val="20"/>
        </w:rPr>
        <w:t>[6] HeartCompass Project Documentation: README.md, BRIEF_INTRO.md, WBS_TRACKING.md, and Biweekly Reports #1-#5.</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