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GEME</w:t>
      </w:r>
    </w:p>
    <w:bookmarkStart w:id="33" w:name="Xf3905ae28799cfde8a9f10ca9aef9ac9ef96da9"/>
    <w:p>
      <w:pPr>
        <w:pStyle w:val="Heading1"/>
      </w:pPr>
      <w:r>
        <w:t xml:space="preserve">GEME: A Self-Referential Prism for Cognitive Modeling</w:t>
      </w:r>
    </w:p>
    <w:p>
      <w:pPr>
        <w:pStyle w:val="FirstParagraph"/>
      </w:pPr>
      <w:r>
        <w:t xml:space="preserve">Jieqi Liu</w:t>
      </w:r>
      <w:r>
        <w:t xml:space="preserve"> </w:t>
      </w:r>
      <w:r>
        <w:t xml:space="preserve">Independent Researcher</w:t>
      </w:r>
    </w:p>
    <w:p>
      <w:r>
        <w:pict>
          <v:rect style="width:0;height:1.5pt" o:hralign="center" o:hrstd="t" o:hr="t"/>
        </w:pict>
      </w:r>
    </w:p>
    <w:bookmarkStart w:id="9" w:name="abstract"/>
    <w:p>
      <w:pPr>
        <w:pStyle w:val="Heading2"/>
      </w:pPr>
      <w:r>
        <w:t xml:space="preserve">Abstract</w:t>
      </w:r>
    </w:p>
    <w:p>
      <w:pPr>
        <w:pStyle w:val="FirstParagraph"/>
      </w:pPr>
      <w:r>
        <w:t xml:space="preserve">Understanding the foundational mechanisms of cognition remains a central challenge. We propose the Generative Economy Memory Entity (GEME), a minimal computational model built upon three irreducible operations: competitive merging, adaptive forgetting, and self-observation. GEME depends only on three structural constants (δ=0.19, γ=0.05, τ=0.60). All behavioral thresholds derive from these three through explicit functional relationships; ablation experiments confirm they define economic intervals rather than finely tuned parameters. At runtime, the system produces a frame economy from which we observe: (1) self-referential operations carry near-zero mutual information (I = 0.021 bits, 100 independent random seeds, 100% below 0.05); (2) threshold-triggered L4 self-referential response, separated from world-processing by adaptive confidence calibration — the decision boundary is measured dynamically from the system’s own prediction confidence distribution (lower quartile) rather than externally set; (3) L4 self-referential frame count converges to 1 ± 0.2 under τ ≈ 0.2 configuration, while total frame count supports different stable values under different parameter configurations — this variability demonstrates that frame-count convergence is a dynamical product of the economic interval defined by δ, γ, τ rather than a universal constant. The primary contribution is the presentation of GEME as a reproducible computational thought experiment, whose observed phenomena invite renewed examination of classical cognitive constraints without claiming definitive explanation. The model is fully open-source and reproducible (</w:t>
      </w:r>
      <w:r>
        <w:rPr>
          <w:rStyle w:val="VerbatimChar"/>
        </w:rPr>
        <w:t xml:space="preserve">code/geme.py</w:t>
      </w:r>
      <w:r>
        <w:t xml:space="preserve">, zero external dependencies).</w:t>
      </w:r>
    </w:p>
    <w:bookmarkEnd w:id="9"/>
    <w:bookmarkStart w:id="10" w:name="introduction"/>
    <w:p>
      <w:pPr>
        <w:pStyle w:val="Heading2"/>
      </w:pPr>
      <w:r>
        <w:t xml:space="preserve">1. Introduction</w:t>
      </w:r>
    </w:p>
    <w:p>
      <w:pPr>
        <w:pStyle w:val="FirstParagraph"/>
      </w:pPr>
      <w:r>
        <w:t xml:space="preserve">Understanding cognition — how a finite system constructs meaning from an information stream, forms concepts, and refers to itself — is among the central challenges of modern science. This challenge is rooted in two apparently distinct foundations: the physical constraints of information transmission (Shannon, 1948) and the logical necessity of self-reference (Gödel, 1931). Yet a generative model that unifies these two foundations and provides an operable primitive for a broader theory of cognition has remained absent.</w:t>
      </w:r>
    </w:p>
    <w:p>
      <w:pPr>
        <w:pStyle w:val="BodyText"/>
      </w:pPr>
      <w:r>
        <w:t xml:space="preserve">Related research has focused more on their respective limits and constructions. Chaitin’s algorithmic information theory anchors the essential information of an object in the shortest program that produces it, revealing inherent randomness boundaries within mathematical truth. Aaronson further argued for constraints under the information-theoretic framework: many philosophical problems concerning mind and knowledge may hinge on</w:t>
      </w:r>
      <w:r>
        <w:t xml:space="preserve"> </w:t>
      </w:r>
      <w:r>
        <w:t xml:space="preserve">“computational complexity”</w:t>
      </w:r>
      <w:r>
        <w:t xml:space="preserve"> </w:t>
      </w:r>
      <w:r>
        <w:t xml:space="preserve">— the resource cost required to realize a function, rather than abstract computability. Friston’s free-energy principle, emerging from the life sciences, offers a quantitative</w:t>
      </w:r>
      <w:r>
        <w:t xml:space="preserve"> </w:t>
      </w:r>
      <w:r>
        <w:t xml:space="preserve">“economic”</w:t>
      </w:r>
      <w:r>
        <w:t xml:space="preserve"> </w:t>
      </w:r>
      <w:r>
        <w:t xml:space="preserve">account grounded in variational Bayesian inference: the unifying imperative for all self-organizing systems is the continuous minimization of perceived prediction error, providing a dynamical perspective on perception, action, and homeostasis. In linguistics, Chomsky (2016) explored the structural question of</w:t>
      </w:r>
      <w:r>
        <w:t xml:space="preserve"> </w:t>
      </w:r>
      <w:r>
        <w:t xml:space="preserve">“minimal computation”</w:t>
      </w:r>
      <w:r>
        <w:t xml:space="preserve"> </w:t>
      </w:r>
      <w:r>
        <w:t xml:space="preserve">in language architecture in his later philosophical work.</w:t>
      </w:r>
    </w:p>
    <w:p>
      <w:pPr>
        <w:pStyle w:val="BodyText"/>
      </w:pPr>
      <w:r>
        <w:t xml:space="preserve">These deep explorations have each excavated a profound facet of cognition within their respective domains, yet they still cannot answer the question within a single, unified framework.</w:t>
      </w:r>
    </w:p>
    <w:p>
      <w:pPr>
        <w:pStyle w:val="BodyText"/>
      </w:pPr>
      <w:r>
        <w:t xml:space="preserve">Hofstadter, in</w:t>
      </w:r>
      <w:r>
        <w:t xml:space="preserve"> </w:t>
      </w:r>
      <w:r>
        <w:rPr>
          <w:i/>
          <w:iCs/>
        </w:rPr>
        <w:t xml:space="preserve">Gödel, Escher, Bach</w:t>
      </w:r>
      <w:r>
        <w:t xml:space="preserve">, provided an intuitive philosophical answer. He argued that meaning, consciousness, and even life’s hierarchical organization do not arise from external injection but emerge as byproducts of a system referring to itself. Self-reference is the bridge connecting meaningless symbols to meaningful understanding, mechanical steps to inner experience. Hofstadter achieved a magnificent philosophical synthesis, but this synthesis remains largely at the level of metaphor and narrative — a runnable, testable computational model has been absent.</w:t>
      </w:r>
    </w:p>
    <w:p>
      <w:pPr>
        <w:pStyle w:val="BodyText"/>
      </w:pPr>
      <w:r>
        <w:t xml:space="preserve">This paper aims to take a critical step from philosophical synthesis to computational exploration. We propose the Generative Economy Memory Entity (GEME) — a computational framework built on three structural constants and three core operations. GEME does not simulate any specific cognitive module; rather, it attempts to instantiate a deep kernel shared by the aforementioned intellectual lineage: cognition may be an economic system that organizes information through self-reference under resource constraints, in order to maintain its own structural integrity. Our goal is not to claim the solution to the cognitive puzzle, but to forge a reproducible, inspectable, extensible computational</w:t>
      </w:r>
      <w:r>
        <w:t xml:space="preserve"> </w:t>
      </w:r>
      <w:r>
        <w:t xml:space="preserve">“prism.”</w:t>
      </w:r>
      <w:r>
        <w:t xml:space="preserve"> </w:t>
      </w:r>
      <w:r>
        <w:t xml:space="preserve">Through it, we can examine, from new operational perspectives, how information structures itself under competition, how self-reference can enrich internal models without depleting the channel, and how stable states arise from stochastic interaction.</w:t>
      </w:r>
    </w:p>
    <w:p>
      <w:pPr>
        <w:pStyle w:val="BodyText"/>
      </w:pPr>
      <w:r>
        <w:t xml:space="preserve">We report three systematic findings: (1) the information-theoretic cost of self-reference approaches zero when the system stabilizes (I = 0.021 bits, 100 independent random seeds, 100% below 0.05); (2) threshold-triggered L4 response separates world-processing from self-referential prediction through adaptive confidence calibration — the threshold is not externally set but measured dynamically from the lower quartile of the system’s own confidence distribution; (3) the effective memory window is jointly determined by γ and τ (completely insensitive to δ), with different parameter configurations supporting different stable frame counts — N_eq ≈ 8 at τ ≈ 0.2, N_eq ≈ 26 at the default τ = 0.60.</w:t>
      </w:r>
    </w:p>
    <w:p>
      <w:pPr>
        <w:pStyle w:val="BodyText"/>
      </w:pPr>
      <w:r>
        <w:t xml:space="preserve">The paper is organized as follows. Section 2 describes the GEME model. Section 3 reports experimental results. Section 4 discusses implications, limitations, and connections to existing frameworks.</w:t>
      </w:r>
    </w:p>
    <w:bookmarkEnd w:id="10"/>
    <w:bookmarkStart w:id="16" w:name="the-geme-model"/>
    <w:p>
      <w:pPr>
        <w:pStyle w:val="Heading2"/>
      </w:pPr>
      <w:r>
        <w:t xml:space="preserve">2. The GEME Model</w:t>
      </w:r>
    </w:p>
    <w:p>
      <w:pPr>
        <w:pStyle w:val="FirstParagraph"/>
      </w:pPr>
      <w:r>
        <w:t xml:space="preserve">[Figure 1: GEME six-layer architecture — pipeline from input (L0) through L1–L6 to output]</w:t>
      </w:r>
    </w:p>
    <w:bookmarkStart w:id="11" w:name="core-operations"/>
    <w:p>
      <w:pPr>
        <w:pStyle w:val="Heading3"/>
      </w:pPr>
      <w:r>
        <w:t xml:space="preserve">2.1 Core Operations</w:t>
      </w:r>
    </w:p>
    <w:p>
      <w:pPr>
        <w:pStyle w:val="FirstParagraph"/>
      </w:pPr>
      <w:r>
        <w:t xml:space="preserve">GEME is defined by three operations, all operating on a frame collection F constrained by a fixed capacity C (default: 10).</w:t>
      </w:r>
    </w:p>
    <w:p>
      <w:pPr>
        <w:pStyle w:val="BodyText"/>
      </w:pPr>
      <w:r>
        <w:rPr>
          <w:b/>
          <w:bCs/>
        </w:rPr>
        <w:t xml:space="preserve">Operation 1: Competitive Merging.</w:t>
      </w:r>
      <w:r>
        <w:t xml:space="preserve"> </w:t>
      </w:r>
      <w:r>
        <w:t xml:space="preserve">When an input vector x arrives, the system computes the Euclidean distance from x to every existing frame f ∈ F. Let f* be the closest frame with distance d</w:t>
      </w:r>
      <w:r>
        <w:rPr>
          <w:i/>
          <w:iCs/>
        </w:rPr>
        <w:t xml:space="preserve">. The merge threshold δ_eff is adaptively calibrated by the system from the observed distribution of merge distances — during the early (learning) phase, the lower quartile of learning distances serves as the initial threshold; during the stable phase, the median of the last 50 merge distances (upper-bounded by 50% of the last distance) is used. If d</w:t>
      </w:r>
      <w:r>
        <w:t xml:space="preserve"> </w:t>
      </w:r>
      <w:r>
        <w:t xml:space="preserve">≤ δ_eff and the signature of f* matches the input signature (or the input has no signature), x is merged into f*, updating its vector as a weighted centroid:</w:t>
      </w:r>
    </w:p>
    <w:p>
      <w:pPr>
        <w:pStyle w:val="BlockText"/>
      </w:pPr>
      <w:r>
        <w:t xml:space="preserve">f</w:t>
      </w:r>
      <w:r>
        <w:rPr>
          <w:i/>
          <w:iCs/>
        </w:rPr>
        <w:t xml:space="preserve">.vec ← (f</w:t>
      </w:r>
      <w:r>
        <w:t xml:space="preserve">.weight · f</w:t>
      </w:r>
      <w:r>
        <w:rPr>
          <w:i/>
          <w:iCs/>
        </w:rPr>
        <w:t xml:space="preserve">.vec + x) / (f</w:t>
      </w:r>
      <w:r>
        <w:t xml:space="preserve">.weight + 1)</w:t>
      </w:r>
      <w:r>
        <w:t xml:space="preserve"> </w:t>
      </w:r>
      <w:r>
        <w:t xml:space="preserve">f</w:t>
      </w:r>
      <w:r>
        <w:rPr>
          <w:i/>
          <w:iCs/>
        </w:rPr>
        <w:t xml:space="preserve">.weight ← f</w:t>
      </w:r>
      <w:r>
        <w:t xml:space="preserve">.weight + 1</w:t>
      </w:r>
    </w:p>
    <w:p>
      <w:pPr>
        <w:pStyle w:val="FirstParagraph"/>
      </w:pPr>
      <w:r>
        <w:t xml:space="preserve">If d* &gt; δ_eff or no valid threshold exists, a new frame (x, weight=1) is created. The initial weight of a new frame receives a novelty bonus: if the input is far from the threshold boundary, the weight is 1.0 + N_BONUS × (1 − d*/δ_eff) — where N_BONUS = 5.0, derived from survival analysis under τ/γ constraints (a novel frame must survive ~12 steps of γ-decay to remain above median weight). When the frame count exceeds capacity C, the lowest-weight frame is evicted.</w:t>
      </w:r>
    </w:p>
    <w:p>
      <w:pPr>
        <w:pStyle w:val="BodyText"/>
      </w:pPr>
      <w:r>
        <w:t xml:space="preserve">The system supports a quantum merge mode (</w:t>
      </w:r>
      <w:r>
        <w:rPr>
          <w:rStyle w:val="VerbatimChar"/>
        </w:rPr>
        <w:t xml:space="preserve">quantum_mode=True</w:t>
      </w:r>
      <w:r>
        <w:t xml:space="preserve">, used in §3 experiments): when multiple candidate frames fall within the threshold, the system performs probabilistic selection with probability exp(−d/δ_eff), saving rejected candidates as</w:t>
      </w:r>
      <w:r>
        <w:t xml:space="preserve"> </w:t>
      </w:r>
      <w:r>
        <w:t xml:space="preserve">“multiverse”</w:t>
      </w:r>
      <w:r>
        <w:t xml:space="preserve"> </w:t>
      </w:r>
      <w:r>
        <w:t xml:space="preserve">branches.</w:t>
      </w:r>
    </w:p>
    <w:p>
      <w:pPr>
        <w:pStyle w:val="BodyText"/>
      </w:pPr>
      <w:r>
        <w:rPr>
          <w:b/>
          <w:bCs/>
        </w:rPr>
        <w:t xml:space="preserve">Operation 2: Adaptive Forgetting.</w:t>
      </w:r>
      <w:r>
        <w:t xml:space="preserve"> </w:t>
      </w:r>
      <w:r>
        <w:t xml:space="preserve">Forgetting does not occur at every step but is triggered during induction cleaning, which fires when system stress — the product of frame utilization and (1 − frame efficiency) — accumulates beyond τ. During cleaning: frames that have never been merged have their weight multiplied by exp(−γ/0.25) (≈0.819); frames merged 1–2 times are multiplied by exp(−γ) (≈0.951); frames merged 3 or more times remain unchanged. Frame age is incremented. After cleaning, frames are sorted by weight − age·γ, and the weakest half are removed.</w:t>
      </w:r>
    </w:p>
    <w:p>
      <w:pPr>
        <w:pStyle w:val="BodyText"/>
      </w:pPr>
      <w:r>
        <w:rPr>
          <w:b/>
          <w:bCs/>
        </w:rPr>
        <w:t xml:space="preserve">Operation 3: Self-Observation.</w:t>
      </w:r>
      <w:r>
        <w:t xml:space="preserve"> </w:t>
      </w:r>
      <w:r>
        <w:t xml:space="preserve">Before each induction cleaning, the system computes a weighted centroid o = Σ(w_i · f_i.vec) / Σw_i (including only active frames with weight &gt; 2), and feeds o back into the system as a self-observation vector, undergoing exactly the same competitive merging process as external input. Additionally, the system computes d(w)/dt (linear regression slope of weight versus time) for all frames, injecting frames with significant derivatives (|dw/dt| &gt; γ × 0.4) as L4 meta-observation signals into the frame economy. Active frame ID co-occurrence relationships are simultaneously tracked, providing the basis for bridge frames (L3) formation.</w:t>
      </w:r>
    </w:p>
    <w:p>
      <w:pPr>
        <w:pStyle w:val="BodyText"/>
      </w:pPr>
      <w:r>
        <w:t xml:space="preserve">The three operations define a deterministic transition: given the current frame set F_t and input x, the system produces the next frame set F_{t+1}. No randomness (except quantum mode), no hidden variables, no gradient signal.</w:t>
      </w:r>
    </w:p>
    <w:bookmarkEnd w:id="11"/>
    <w:bookmarkStart w:id="12" w:name="X216eeadcfa601c949ca53beb2e9289b10c5400b"/>
    <w:p>
      <w:pPr>
        <w:pStyle w:val="Heading3"/>
      </w:pPr>
      <w:r>
        <w:t xml:space="preserve">2.2 Structural Constants and Derived Relationships</w:t>
      </w:r>
    </w:p>
    <w:p>
      <w:pPr>
        <w:pStyle w:val="FirstParagraph"/>
      </w:pPr>
      <w:r>
        <w:t xml:space="preserve">GEME depends on only three structural constants; all behavioral thresholds derive from them through explicit functional relationships (Table 1). Ablation experiments (§3.2) confirm that these thresholds define economic intervals — the system’s behavior is insensitive to their precise values — rather than parameters requiring fine tuning.</w:t>
      </w:r>
    </w:p>
    <w:p>
      <w:pPr>
        <w:pStyle w:val="BodyText"/>
      </w:pPr>
      <w:r>
        <w:rPr>
          <w:b/>
          <w:bCs/>
        </w:rPr>
        <w:t xml:space="preserve">Table 1: Three Structural Constants and Their Derived Relationships</w:t>
      </w:r>
    </w:p>
    <w:tbl>
      <w:tblPr>
        <w:tblStyle w:val="Table"/>
        <w:tblW w:type="pct" w:w="5000"/>
        <w:tblLayout w:type="fixed"/>
        <w:tblLook w:firstRow="1" w:lastRow="0" w:firstColumn="0" w:lastColumn="0" w:noHBand="0" w:noVBand="0" w:val="0020"/>
      </w:tblPr>
      <w:tblGrid>
        <w:gridCol w:w="3443"/>
        <w:gridCol w:w="2410"/>
        <w:gridCol w:w="2066"/>
      </w:tblGrid>
      <w:tr>
        <w:trPr>
          <w:tblHeader w:val="on"/>
        </w:trPr>
        <w:tc>
          <w:tcPr/>
          <w:p>
            <w:pPr>
              <w:pStyle w:val="Compact"/>
            </w:pPr>
            <w:r>
              <w:t xml:space="preserve">Constant</w:t>
            </w:r>
          </w:p>
        </w:tc>
        <w:tc>
          <w:tcPr/>
          <w:p>
            <w:pPr>
              <w:pStyle w:val="Compact"/>
            </w:pPr>
            <w:r>
              <w:t xml:space="preserve">Value</w:t>
            </w:r>
          </w:p>
        </w:tc>
        <w:tc>
          <w:tcPr/>
          <w:p>
            <w:pPr>
              <w:pStyle w:val="Compact"/>
            </w:pPr>
            <w:r>
              <w:t xml:space="preserve">Role</w:t>
            </w:r>
          </w:p>
        </w:tc>
      </w:tr>
      <w:tr>
        <w:tc>
          <w:tcPr/>
          <w:p>
            <w:pPr>
              <w:pStyle w:val="Compact"/>
            </w:pPr>
            <w:r>
              <w:t xml:space="preserve">δ (DELTA)</w:t>
            </w:r>
          </w:p>
        </w:tc>
        <w:tc>
          <w:tcPr/>
          <w:p>
            <w:pPr>
              <w:pStyle w:val="Compact"/>
            </w:pPr>
            <w:r>
              <w:t xml:space="preserve">0.19</w:t>
            </w:r>
          </w:p>
        </w:tc>
        <w:tc>
          <w:tcPr/>
          <w:p>
            <w:pPr>
              <w:pStyle w:val="Compact"/>
            </w:pPr>
            <w:r>
              <w:t xml:space="preserve">Baseline scale for merge distance</w:t>
            </w:r>
          </w:p>
        </w:tc>
      </w:tr>
      <w:tr>
        <w:tc>
          <w:tcPr/>
          <w:p>
            <w:pPr>
              <w:pStyle w:val="Compact"/>
            </w:pPr>
            <w:r>
              <w:t xml:space="preserve">γ (GAMMA)</w:t>
            </w:r>
          </w:p>
        </w:tc>
        <w:tc>
          <w:tcPr/>
          <w:p>
            <w:pPr>
              <w:pStyle w:val="Compact"/>
            </w:pPr>
            <w:r>
              <w:t xml:space="preserve">0.05</w:t>
            </w:r>
          </w:p>
        </w:tc>
        <w:tc>
          <w:tcPr/>
          <w:p>
            <w:pPr>
              <w:pStyle w:val="Compact"/>
            </w:pPr>
            <w:r>
              <w:t xml:space="preserve">Forgetting rate — defines the system’s metabolic time baseline</w:t>
            </w:r>
          </w:p>
        </w:tc>
      </w:tr>
      <w:tr>
        <w:tc>
          <w:tcPr/>
          <w:p>
            <w:pPr>
              <w:pStyle w:val="Compact"/>
            </w:pPr>
            <w:r>
              <w:t xml:space="preserve">τ (TAU)</w:t>
            </w:r>
          </w:p>
        </w:tc>
        <w:tc>
          <w:tcPr/>
          <w:p>
            <w:pPr>
              <w:pStyle w:val="Compact"/>
            </w:pPr>
            <w:r>
              <w:t xml:space="preserve">0.60</w:t>
            </w:r>
          </w:p>
        </w:tc>
        <w:tc>
          <w:tcPr/>
          <w:p>
            <w:pPr>
              <w:pStyle w:val="Compact"/>
            </w:pPr>
            <w:r>
              <w:t xml:space="preserve">Induction stress threshold — defines self-audit frequency</w:t>
            </w:r>
          </w:p>
        </w:tc>
      </w:tr>
    </w:tbl>
    <w:p/>
    <w:tbl>
      <w:tblPr>
        <w:tblStyle w:val="Table"/>
        <w:tblW w:type="pct" w:w="5000"/>
        <w:tblLayout w:type="fixed"/>
        <w:tblLook w:firstRow="1" w:lastRow="0" w:firstColumn="0" w:lastColumn="0" w:noHBand="0" w:noVBand="0" w:val="0020"/>
      </w:tblPr>
      <w:tblGrid>
        <w:gridCol w:w="2741"/>
        <w:gridCol w:w="1370"/>
        <w:gridCol w:w="1066"/>
        <w:gridCol w:w="2741"/>
      </w:tblGrid>
      <w:tr>
        <w:trPr>
          <w:tblHeader w:val="on"/>
        </w:trPr>
        <w:tc>
          <w:tcPr/>
          <w:p>
            <w:pPr>
              <w:pStyle w:val="Compact"/>
            </w:pPr>
            <w:r>
              <w:t xml:space="preserve">Derived Constant</w:t>
            </w:r>
          </w:p>
        </w:tc>
        <w:tc>
          <w:tcPr/>
          <w:p>
            <w:pPr>
              <w:pStyle w:val="Compact"/>
            </w:pPr>
            <w:r>
              <w:t xml:space="preserve">Formula</w:t>
            </w:r>
          </w:p>
        </w:tc>
        <w:tc>
          <w:tcPr/>
          <w:p>
            <w:pPr>
              <w:pStyle w:val="Compact"/>
            </w:pPr>
            <w:r>
              <w:t xml:space="preserve">Value</w:t>
            </w:r>
          </w:p>
        </w:tc>
        <w:tc>
          <w:tcPr/>
          <w:p>
            <w:pPr>
              <w:pStyle w:val="Compact"/>
            </w:pPr>
            <w:r>
              <w:t xml:space="preserve">Ablation Plateau</w:t>
            </w:r>
          </w:p>
        </w:tc>
      </w:tr>
      <w:tr>
        <w:tc>
          <w:tcPr/>
          <w:p>
            <w:pPr>
              <w:pStyle w:val="Compact"/>
            </w:pPr>
            <w:r>
              <w:t xml:space="preserve">DW_THRESHOLD</w:t>
            </w:r>
          </w:p>
        </w:tc>
        <w:tc>
          <w:tcPr/>
          <w:p>
            <w:pPr>
              <w:pStyle w:val="Compact"/>
            </w:pPr>
            <w:r>
              <w:t xml:space="preserve">γ × 0.4</w:t>
            </w:r>
          </w:p>
        </w:tc>
        <w:tc>
          <w:tcPr/>
          <w:p>
            <w:pPr>
              <w:pStyle w:val="Compact"/>
            </w:pPr>
            <w:r>
              <w:t xml:space="preserve">0.02</w:t>
            </w:r>
          </w:p>
        </w:tc>
        <w:tc>
          <w:tcPr/>
          <w:p>
            <w:pPr>
              <w:pStyle w:val="Compact"/>
            </w:pPr>
            <w:r>
              <w:t xml:space="preserve">40× stable</w:t>
            </w:r>
          </w:p>
        </w:tc>
      </w:tr>
      <w:tr>
        <w:tc>
          <w:tcPr/>
          <w:p>
            <w:pPr>
              <w:pStyle w:val="Compact"/>
            </w:pPr>
            <w:r>
              <w:t xml:space="preserve">META_STABLE_THRESHOLD</w:t>
            </w:r>
          </w:p>
        </w:tc>
        <w:tc>
          <w:tcPr/>
          <w:p>
            <w:pPr>
              <w:pStyle w:val="Compact"/>
            </w:pPr>
            <w:r>
              <w:t xml:space="preserve">γ × 0.2</w:t>
            </w:r>
          </w:p>
        </w:tc>
        <w:tc>
          <w:tcPr/>
          <w:p>
            <w:pPr>
              <w:pStyle w:val="Compact"/>
            </w:pPr>
            <w:r>
              <w:t xml:space="preserve">0.01</w:t>
            </w:r>
          </w:p>
        </w:tc>
        <w:tc>
          <w:tcPr/>
          <w:p>
            <w:pPr>
              <w:pStyle w:val="Compact"/>
            </w:pPr>
            <w:r>
              <w:t xml:space="preserve">75× stable</w:t>
            </w:r>
          </w:p>
        </w:tc>
      </w:tr>
      <w:tr>
        <w:tc>
          <w:tcPr/>
          <w:p>
            <w:pPr>
              <w:pStyle w:val="Compact"/>
            </w:pPr>
            <w:r>
              <w:t xml:space="preserve">DOUBT_ON_THRESHOLD</w:t>
            </w:r>
          </w:p>
        </w:tc>
        <w:tc>
          <w:tcPr/>
          <w:p>
            <w:pPr>
              <w:pStyle w:val="Compact"/>
            </w:pPr>
            <w:r>
              <w:t xml:space="preserve">τ</w:t>
            </w:r>
          </w:p>
        </w:tc>
        <w:tc>
          <w:tcPr/>
          <w:p>
            <w:pPr>
              <w:pStyle w:val="Compact"/>
            </w:pPr>
            <w:r>
              <w:t xml:space="preserve">0.60</w:t>
            </w:r>
          </w:p>
        </w:tc>
        <w:tc>
          <w:tcPr/>
          <w:p>
            <w:pPr>
              <w:pStyle w:val="Compact"/>
            </w:pPr>
            <w:r>
              <w:t xml:space="preserve">10× stable</w:t>
            </w:r>
          </w:p>
        </w:tc>
      </w:tr>
      <w:tr>
        <w:tc>
          <w:tcPr/>
          <w:p>
            <w:pPr>
              <w:pStyle w:val="Compact"/>
            </w:pPr>
            <w:r>
              <w:t xml:space="preserve">DOUBT_OFF_THRESHOLD</w:t>
            </w:r>
          </w:p>
        </w:tc>
        <w:tc>
          <w:tcPr/>
          <w:p>
            <w:pPr>
              <w:pStyle w:val="Compact"/>
            </w:pPr>
            <w:r>
              <w:t xml:space="preserve">1 − γ × 3</w:t>
            </w:r>
          </w:p>
        </w:tc>
        <w:tc>
          <w:tcPr/>
          <w:p>
            <w:pPr>
              <w:pStyle w:val="Compact"/>
            </w:pPr>
            <w:r>
              <w:t xml:space="preserve">0.85</w:t>
            </w:r>
          </w:p>
        </w:tc>
        <w:tc>
          <w:tcPr/>
          <w:p>
            <w:pPr>
              <w:pStyle w:val="Compact"/>
            </w:pPr>
            <w:r>
              <w:t xml:space="preserve">10× stable</w:t>
            </w:r>
          </w:p>
        </w:tc>
      </w:tr>
      <w:tr>
        <w:tc>
          <w:tcPr/>
          <w:p>
            <w:pPr>
              <w:pStyle w:val="Compact"/>
            </w:pPr>
            <w:r>
              <w:t xml:space="preserve">HEALTHY_ACC_THRESHOLD</w:t>
            </w:r>
          </w:p>
        </w:tc>
        <w:tc>
          <w:tcPr/>
          <w:p>
            <w:pPr>
              <w:pStyle w:val="Compact"/>
            </w:pPr>
            <w:r>
              <w:t xml:space="preserve">1 − γ × 4</w:t>
            </w:r>
          </w:p>
        </w:tc>
        <w:tc>
          <w:tcPr/>
          <w:p>
            <w:pPr>
              <w:pStyle w:val="Compact"/>
            </w:pPr>
            <w:r>
              <w:t xml:space="preserve">0.80</w:t>
            </w:r>
          </w:p>
        </w:tc>
        <w:tc>
          <w:tcPr/>
          <w:p>
            <w:pPr>
              <w:pStyle w:val="Compact"/>
            </w:pPr>
            <w:r>
              <w:t xml:space="preserve">transition at mult 8→10</w:t>
            </w:r>
          </w:p>
        </w:tc>
      </w:tr>
      <w:tr>
        <w:tc>
          <w:tcPr/>
          <w:p>
            <w:pPr>
              <w:pStyle w:val="Compact"/>
            </w:pPr>
            <w:r>
              <w:t xml:space="preserve">INDUCTION_DECAY_LOW</w:t>
            </w:r>
          </w:p>
        </w:tc>
        <w:tc>
          <w:tcPr/>
          <w:p>
            <w:pPr>
              <w:pStyle w:val="Compact"/>
            </w:pPr>
            <w:r>
              <w:t xml:space="preserve">exp(−γ)</w:t>
            </w:r>
          </w:p>
        </w:tc>
        <w:tc>
          <w:tcPr/>
          <w:p>
            <w:pPr>
              <w:pStyle w:val="Compact"/>
            </w:pPr>
            <w:r>
              <w:t xml:space="preserve">0.951</w:t>
            </w:r>
          </w:p>
        </w:tc>
        <w:tc>
          <w:tcPr/>
          <w:p>
            <w:pPr>
              <w:pStyle w:val="Compact"/>
            </w:pPr>
            <w:r>
              <w:t xml:space="preserve">equality constraint</w:t>
            </w:r>
          </w:p>
        </w:tc>
      </w:tr>
      <w:tr>
        <w:tc>
          <w:tcPr/>
          <w:p>
            <w:pPr>
              <w:pStyle w:val="Compact"/>
            </w:pPr>
            <w:r>
              <w:t xml:space="preserve">INDUCTION_DECAY_UNMERGED</w:t>
            </w:r>
          </w:p>
        </w:tc>
        <w:tc>
          <w:tcPr/>
          <w:p>
            <w:pPr>
              <w:pStyle w:val="Compact"/>
            </w:pPr>
            <w:r>
              <w:t xml:space="preserve">exp(−γ/0.25)</w:t>
            </w:r>
          </w:p>
        </w:tc>
        <w:tc>
          <w:tcPr/>
          <w:p>
            <w:pPr>
              <w:pStyle w:val="Compact"/>
            </w:pPr>
            <w:r>
              <w:t xml:space="preserve">0.819</w:t>
            </w:r>
          </w:p>
        </w:tc>
        <w:tc>
          <w:tcPr/>
          <w:p>
            <w:pPr>
              <w:pStyle w:val="Compact"/>
            </w:pPr>
            <w:r>
              <w:t xml:space="preserve">equality constraint</w:t>
            </w:r>
          </w:p>
        </w:tc>
      </w:tr>
      <w:tr>
        <w:tc>
          <w:tcPr/>
          <w:p>
            <w:pPr>
              <w:pStyle w:val="Compact"/>
            </w:pPr>
            <w:r>
              <w:t xml:space="preserve">MULTIVERSE_DIM_PENALTY</w:t>
            </w:r>
          </w:p>
        </w:tc>
        <w:tc>
          <w:tcPr/>
          <w:p>
            <w:pPr>
              <w:pStyle w:val="Compact"/>
            </w:pPr>
            <w:r>
              <w:t xml:space="preserve">δ × 1.32</w:t>
            </w:r>
          </w:p>
        </w:tc>
        <w:tc>
          <w:tcPr/>
          <w:p>
            <w:pPr>
              <w:pStyle w:val="Compact"/>
            </w:pPr>
            <w:r>
              <w:t xml:space="preserve">~0.25</w:t>
            </w:r>
          </w:p>
        </w:tc>
        <w:tc>
          <w:tcPr/>
          <w:p>
            <w:pPr>
              <w:pStyle w:val="Compact"/>
            </w:pPr>
            <w:r>
              <w:t xml:space="preserve">engineering</w:t>
            </w:r>
          </w:p>
        </w:tc>
      </w:tr>
      <w:tr>
        <w:tc>
          <w:tcPr/>
          <w:p>
            <w:pPr>
              <w:pStyle w:val="Compact"/>
            </w:pPr>
            <w:r>
              <w:t xml:space="preserve">PRED_CONFIDENCE_THRESHOLD</w:t>
            </w:r>
          </w:p>
        </w:tc>
        <w:tc>
          <w:tcPr/>
          <w:p>
            <w:pPr>
              <w:pStyle w:val="Compact"/>
            </w:pPr>
            <w:r>
              <w:t xml:space="preserve">0.3 (bootstrap)</w:t>
            </w:r>
          </w:p>
        </w:tc>
        <w:tc>
          <w:tcPr/>
          <w:p>
            <w:pPr>
              <w:pStyle w:val="Compact"/>
            </w:pPr>
            <w:r>
              <w:t xml:space="preserve">0.3</w:t>
            </w:r>
          </w:p>
        </w:tc>
        <w:tc>
          <w:tcPr/>
          <w:p>
            <w:pPr>
              <w:pStyle w:val="Compact"/>
            </w:pPr>
            <w:r>
              <w:t xml:space="preserve">auto-calibrated at runtime</w:t>
            </w:r>
          </w:p>
        </w:tc>
      </w:tr>
    </w:tbl>
    <w:bookmarkEnd w:id="12"/>
    <w:bookmarkStart w:id="13" w:name="frames-and-adaptive-mechanisms"/>
    <w:p>
      <w:pPr>
        <w:pStyle w:val="Heading3"/>
      </w:pPr>
      <w:r>
        <w:t xml:space="preserve">2.3 Frames and Adaptive Mechanisms</w:t>
      </w:r>
    </w:p>
    <w:p>
      <w:pPr>
        <w:pStyle w:val="FirstParagraph"/>
      </w:pPr>
      <w:r>
        <w:t xml:space="preserve">A frame f is a data structure (vec, weight, age, merged, sig, layer), where vec is a D-dimensional vector (D = 27 in the fixed-dimension version), weight tracks merging frequency and determines survival probability, age counts steps since creation, merged counts successful merges (affecting decay rate), sig is an optional signature for interpretability (truncated to 30 characters), and layer records the frame’s functional origin (L1–L6).</w:t>
      </w:r>
    </w:p>
    <w:p>
      <w:pPr>
        <w:pStyle w:val="BodyText"/>
      </w:pPr>
      <w:r>
        <w:t xml:space="preserve">The merge threshold is not externally set but dynamically calibrated by an adaptive mechanism from the system’s own merge distance distribution. Learning phase: when fewer than 10 merge distance samples have been accumulated, the threshold returns None (no merging yet); after sufficient samples, the lower quartile is taken as the initial threshold. Stable phase: the median of the last 50 merge distances is used. The self-referential window size is similarly adaptive — total_weight / frame_count × 2, clamped to [5, 200]. These adaptive mechanisms ensure the system’s robustness to different input densities and statistical distributions (ablation validation in §3.2).</w:t>
      </w:r>
    </w:p>
    <w:bookmarkEnd w:id="13"/>
    <w:bookmarkStart w:id="14" w:name="X78923a2a8bca7bab7ac2126ad5ac18dc58df99c"/>
    <w:p>
      <w:pPr>
        <w:pStyle w:val="Heading3"/>
      </w:pPr>
      <w:r>
        <w:t xml:space="preserve">2.4 Prediction and Self-Referential Verification Pipeline</w:t>
      </w:r>
    </w:p>
    <w:p>
      <w:pPr>
        <w:pStyle w:val="FirstParagraph"/>
      </w:pPr>
      <w:r>
        <w:t xml:space="preserve">At each observation, prior to the merge decision, the system runs the L4 prediction pipeline (</w:t>
      </w:r>
      <w:r>
        <w:rPr>
          <w:rStyle w:val="VerbatimChar"/>
        </w:rPr>
        <w:t xml:space="preserve">process_prediction</w:t>
      </w:r>
      <w:r>
        <w:t xml:space="preserve">), inferring the next most probable frame signature from the co-occurrence table. The confidence threshold is not externally set — the system maintains a sliding window of the last 100 prediction confidences, dynamically setting the decision boundary at the lower quartile (25th percentile), accepting only predictions whose confidence falls within the top 75% of the system’s own distribution. This causes the threshold to automatically rise in closed worlds (where confidence is highly concentrated), suppressing noise, and to automatically fall in open worlds (where confidence distribution widens), sensitively detecting information gaps.</w:t>
      </w:r>
    </w:p>
    <w:p>
      <w:pPr>
        <w:pStyle w:val="BodyText"/>
      </w:pPr>
      <w:r>
        <w:t xml:space="preserve">When the prediction matches the actual signature, the system records a correct prediction; on mismatch, it generates a pred_err frame (L4) and records the prediction error. The system maintains a rolling accuracy window (last 50 predictions, computing accuracy from the last 20). When the recent 10-prediction accuracy drops below τ (0.60) and the system was previously in a healthy state (accuracy &gt; 0.80), systemic doubt is triggered (doubt_mode, L6). When accuracy recovers above 0.85, doubt is released. L5 is the meta-observational function that tracks accuracy trends within the L4 pipeline — it is not an independent processing layer but a statistical component of the prediction pipeline.</w:t>
      </w:r>
    </w:p>
    <w:p>
      <w:pPr>
        <w:pStyle w:val="BodyText"/>
      </w:pPr>
      <w:r>
        <w:t xml:space="preserve">This adaptive architecture transforms L4–L6 from a set of fixed thresholds into an entropy-gap detector: its output signal reflects not whether a preset condition is satisfied, but whether the irreducible divergence between the internal model and the external information stream has exceeded the system’s own expected range.</w:t>
      </w:r>
    </w:p>
    <w:bookmarkEnd w:id="14"/>
    <w:bookmarkStart w:id="15" w:name="X76d5d2564c7aae8ef7480da0e60649d519464a7"/>
    <w:p>
      <w:pPr>
        <w:pStyle w:val="Heading3"/>
      </w:pPr>
      <w:r>
        <w:t xml:space="preserve">2.5 Functional Stratification of the Frame Economy</w:t>
      </w:r>
    </w:p>
    <w:p>
      <w:pPr>
        <w:pStyle w:val="FirstParagraph"/>
      </w:pPr>
      <w:r>
        <w:t xml:space="preserve">Frames in the frame economy naturally fall into six functional categories according to their origin, corresponding to information-processing stages from raw input to self-judgment. These are not concurrent independent modules but functional labels (the</w:t>
      </w:r>
      <w:r>
        <w:t xml:space="preserve"> </w:t>
      </w:r>
      <w:r>
        <w:rPr>
          <w:rStyle w:val="VerbatimChar"/>
        </w:rPr>
        <w:t xml:space="preserve">layer</w:t>
      </w:r>
      <w:r>
        <w:t xml:space="preserve"> </w:t>
      </w:r>
      <w:r>
        <w:t xml:space="preserve">attribute) on frames within a single collection.</w:t>
      </w:r>
    </w:p>
    <w:tbl>
      <w:tblPr>
        <w:tblStyle w:val="Table"/>
        <w:tblW w:type="pct" w:w="5000"/>
        <w:tblLayout w:type="fixed"/>
        <w:tblLook w:firstRow="1" w:lastRow="0" w:firstColumn="0" w:lastColumn="0" w:noHBand="0" w:noVBand="0" w:val="0020"/>
      </w:tblPr>
      <w:tblGrid>
        <w:gridCol w:w="1232"/>
        <w:gridCol w:w="1760"/>
        <w:gridCol w:w="2288"/>
        <w:gridCol w:w="2640"/>
      </w:tblGrid>
      <w:tr>
        <w:trPr>
          <w:tblHeader w:val="on"/>
        </w:trPr>
        <w:tc>
          <w:tcPr/>
          <w:p>
            <w:pPr>
              <w:pStyle w:val="Compact"/>
            </w:pPr>
            <w:r>
              <w:t xml:space="preserve">Layer</w:t>
            </w:r>
          </w:p>
        </w:tc>
        <w:tc>
          <w:tcPr/>
          <w:p>
            <w:pPr>
              <w:pStyle w:val="Compact"/>
            </w:pPr>
            <w:r>
              <w:t xml:space="preserve">Function</w:t>
            </w:r>
          </w:p>
        </w:tc>
        <w:tc>
          <w:tcPr/>
          <w:p>
            <w:pPr>
              <w:pStyle w:val="Compact"/>
            </w:pPr>
            <w:r>
              <w:t xml:space="preserve">Frame Source</w:t>
            </w:r>
          </w:p>
        </w:tc>
        <w:tc>
          <w:tcPr/>
          <w:p>
            <w:pPr>
              <w:pStyle w:val="Compact"/>
            </w:pPr>
            <w:r>
              <w:t xml:space="preserve">Code Location</w:t>
            </w:r>
          </w:p>
        </w:tc>
      </w:tr>
      <w:tr>
        <w:tc>
          <w:tcPr/>
          <w:p>
            <w:pPr>
              <w:pStyle w:val="Compact"/>
            </w:pPr>
            <w:r>
              <w:t xml:space="preserve">L0</w:t>
            </w:r>
          </w:p>
        </w:tc>
        <w:tc>
          <w:tcPr/>
          <w:p>
            <w:pPr>
              <w:pStyle w:val="Compact"/>
            </w:pPr>
            <w:r>
              <w:t xml:space="preserve">Raw input vectors</w:t>
            </w:r>
          </w:p>
        </w:tc>
        <w:tc>
          <w:tcPr/>
          <w:p>
            <w:pPr>
              <w:pStyle w:val="Compact"/>
            </w:pPr>
            <w:r>
              <w:t xml:space="preserve">—</w:t>
            </w:r>
          </w:p>
        </w:tc>
        <w:tc>
          <w:tcPr/>
          <w:p>
            <w:pPr>
              <w:pStyle w:val="Compact"/>
            </w:pPr>
            <w:r>
              <w:t xml:space="preserve">process_vec()</w:t>
            </w:r>
          </w:p>
        </w:tc>
      </w:tr>
      <w:tr>
        <w:tc>
          <w:tcPr/>
          <w:p>
            <w:pPr>
              <w:pStyle w:val="Compact"/>
            </w:pPr>
            <w:r>
              <w:t xml:space="preserve">L1</w:t>
            </w:r>
          </w:p>
        </w:tc>
        <w:tc>
          <w:tcPr/>
          <w:p>
            <w:pPr>
              <w:pStyle w:val="Compact"/>
            </w:pPr>
            <w:r>
              <w:t xml:space="preserve">Entity: adaptive classification of input</w:t>
            </w:r>
          </w:p>
        </w:tc>
        <w:tc>
          <w:tcPr/>
          <w:p>
            <w:pPr>
              <w:pStyle w:val="Compact"/>
            </w:pPr>
            <w:r>
              <w:t xml:space="preserve">Merged or newly created frames</w:t>
            </w:r>
          </w:p>
        </w:tc>
        <w:tc>
          <w:tcPr/>
          <w:p>
            <w:pPr>
              <w:pStyle w:val="Compact"/>
            </w:pPr>
            <w:r>
              <w:t xml:space="preserve">observe()</w:t>
            </w:r>
          </w:p>
        </w:tc>
      </w:tr>
      <w:tr>
        <w:tc>
          <w:tcPr/>
          <w:p>
            <w:pPr>
              <w:pStyle w:val="Compact"/>
            </w:pPr>
            <w:r>
              <w:t xml:space="preserve">L2</w:t>
            </w:r>
          </w:p>
        </w:tc>
        <w:tc>
          <w:tcPr/>
          <w:p>
            <w:pPr>
              <w:pStyle w:val="Compact"/>
            </w:pPr>
            <w:r>
              <w:t xml:space="preserve">Association: frames from co-occurring signature pairs</w:t>
            </w:r>
          </w:p>
        </w:tc>
        <w:tc>
          <w:tcPr/>
          <w:p>
            <w:pPr>
              <w:pStyle w:val="Compact"/>
            </w:pPr>
            <w:r>
              <w:t xml:space="preserve">Sliding window co-occurrence statistics</w:t>
            </w:r>
          </w:p>
        </w:tc>
        <w:tc>
          <w:tcPr/>
          <w:p>
            <w:pPr>
              <w:pStyle w:val="Compact"/>
            </w:pPr>
            <w:r>
              <w:t xml:space="preserve">_track_cooccurrence()</w:t>
            </w:r>
          </w:p>
        </w:tc>
      </w:tr>
      <w:tr>
        <w:tc>
          <w:tcPr/>
          <w:p>
            <w:pPr>
              <w:pStyle w:val="Compact"/>
            </w:pPr>
            <w:r>
              <w:t xml:space="preserve">L3</w:t>
            </w:r>
          </w:p>
        </w:tc>
        <w:tc>
          <w:tcPr/>
          <w:p>
            <w:pPr>
              <w:pStyle w:val="Compact"/>
            </w:pPr>
            <w:r>
              <w:t xml:space="preserve">Bridge: chain frames from active frame ID pairs</w:t>
            </w:r>
          </w:p>
        </w:tc>
        <w:tc>
          <w:tcPr/>
          <w:p>
            <w:pPr>
              <w:pStyle w:val="Compact"/>
            </w:pPr>
            <w:r>
              <w:t xml:space="preserve">Frame ID co-occurrence during self-observation</w:t>
            </w:r>
          </w:p>
        </w:tc>
        <w:tc>
          <w:tcPr/>
          <w:p>
            <w:pPr>
              <w:pStyle w:val="Compact"/>
            </w:pPr>
            <w:r>
              <w:t xml:space="preserve">self_observe() → _form_chains()</w:t>
            </w:r>
          </w:p>
        </w:tc>
      </w:tr>
      <w:tr>
        <w:tc>
          <w:tcPr/>
          <w:p>
            <w:pPr>
              <w:pStyle w:val="Compact"/>
            </w:pPr>
            <w:r>
              <w:t xml:space="preserve">L4</w:t>
            </w:r>
          </w:p>
        </w:tc>
        <w:tc>
          <w:tcPr/>
          <w:p>
            <w:pPr>
              <w:pStyle w:val="Compact"/>
            </w:pPr>
            <w:r>
              <w:t xml:space="preserve">Prediction: prediction errors and significant derivative signals</w:t>
            </w:r>
          </w:p>
        </w:tc>
        <w:tc>
          <w:tcPr/>
          <w:p>
            <w:pPr>
              <w:pStyle w:val="Compact"/>
            </w:pPr>
            <w:r>
              <w:t xml:space="preserve">pred_err frames, dwdw frames</w:t>
            </w:r>
          </w:p>
        </w:tc>
        <w:tc>
          <w:tcPr/>
          <w:p>
            <w:pPr>
              <w:pStyle w:val="Compact"/>
            </w:pPr>
            <w:r>
              <w:t xml:space="preserve">process_prediction(), self_observe()</w:t>
            </w:r>
          </w:p>
        </w:tc>
      </w:tr>
      <w:tr>
        <w:tc>
          <w:tcPr/>
          <w:p>
            <w:pPr>
              <w:pStyle w:val="Compact"/>
            </w:pPr>
            <w:r>
              <w:t xml:space="preserve">L5</w:t>
            </w:r>
          </w:p>
        </w:tc>
        <w:tc>
          <w:tcPr/>
          <w:p>
            <w:pPr>
              <w:pStyle w:val="Compact"/>
            </w:pPr>
            <w:r>
              <w:t xml:space="preserve">Meta-observation: rolling statistics of prediction accuracy</w:t>
            </w:r>
          </w:p>
        </w:tc>
        <w:tc>
          <w:tcPr/>
          <w:p>
            <w:pPr>
              <w:pStyle w:val="Compact"/>
            </w:pPr>
            <w:r>
              <w:t xml:space="preserve">(statistical state, no independent frames)</w:t>
            </w:r>
          </w:p>
        </w:tc>
        <w:tc>
          <w:tcPr/>
          <w:p>
            <w:pPr>
              <w:pStyle w:val="Compact"/>
            </w:pPr>
            <w:r>
              <w:t xml:space="preserve">process_prediction()</w:t>
            </w:r>
          </w:p>
        </w:tc>
      </w:tr>
      <w:tr>
        <w:tc>
          <w:tcPr/>
          <w:p>
            <w:pPr>
              <w:pStyle w:val="Compact"/>
            </w:pPr>
            <w:r>
              <w:t xml:space="preserve">L6</w:t>
            </w:r>
          </w:p>
        </w:tc>
        <w:tc>
          <w:tcPr/>
          <w:p>
            <w:pPr>
              <w:pStyle w:val="Compact"/>
            </w:pPr>
            <w:r>
              <w:t xml:space="preserve">Oversight: judgment of systemic prediction failure</w:t>
            </w:r>
          </w:p>
        </w:tc>
        <w:tc>
          <w:tcPr/>
          <w:p>
            <w:pPr>
              <w:pStyle w:val="Compact"/>
            </w:pPr>
            <w:r>
              <w:t xml:space="preserve">sys_doubt frames</w:t>
            </w:r>
          </w:p>
        </w:tc>
        <w:tc>
          <w:tcPr/>
          <w:p>
            <w:pPr>
              <w:pStyle w:val="Compact"/>
            </w:pPr>
            <w:r>
              <w:t xml:space="preserve">process_prediction()</w:t>
            </w:r>
          </w:p>
        </w:tc>
      </w:tr>
    </w:tbl>
    <w:p>
      <w:pPr>
        <w:pStyle w:val="BodyText"/>
      </w:pPr>
      <w:r>
        <w:t xml:space="preserve">The six layers form two stages: (L1, L2, L3) constitute the world-processing stage — the system learns the statistical structure of the input stream through competition, merging, and forgetting; (L4, L5, L6) constitute the self-referential verification stage — the system monitors the information gap between itself and the world through prediction, meta-observation, and judgment. L4–L6 do not spontaneously emerge from the three operations; they are a threshold-triggered architecture designed upon the endogenous hints of the three-operation dynamics (the smooth dynamical crossover discussed in §4 and Supplementary Material S4) — sharpening a continuous dynamical crossover into operable cognitive functional stratification.</w:t>
      </w:r>
    </w:p>
    <w:bookmarkEnd w:id="15"/>
    <w:bookmarkEnd w:id="16"/>
    <w:bookmarkStart w:id="22" w:name="experimental-results"/>
    <w:p>
      <w:pPr>
        <w:pStyle w:val="Heading2"/>
      </w:pPr>
      <w:r>
        <w:t xml:space="preserve">3. Experimental Results</w:t>
      </w:r>
    </w:p>
    <w:p>
      <w:pPr>
        <w:pStyle w:val="FirstParagraph"/>
      </w:pPr>
      <w:r>
        <w:t xml:space="preserve">[Figure 3: Shannon-Gödel Bridge — MI convergence curve with step count]</w:t>
      </w:r>
    </w:p>
    <w:bookmarkStart w:id="17" w:name="X314a9424d0cf980b54321434ea7b4f145bd8891"/>
    <w:p>
      <w:pPr>
        <w:pStyle w:val="Heading3"/>
      </w:pPr>
      <w:r>
        <w:t xml:space="preserve">3.1 The Shannon-Gödel Bridge: Information Efficiency of Self-Reference</w:t>
      </w:r>
    </w:p>
    <w:p>
      <w:pPr>
        <w:pStyle w:val="FirstParagraph"/>
      </w:pPr>
      <w:r>
        <w:t xml:space="preserve">We compute the mutual information I(phi; X) between the set of self-referential frames (phi, including self_obs, weight-derivative frames, and association bridge frames) and the set of external input frames (X), computed over the full co-occurrence distribution (not a truncated subspace). Under 100 independent random seeds, 2000 steps each, the mean I(phi; X) = 0.021 ± 0.00007 bits, with 100% of runs below 0.05 bits. The MI distribution exhibits five discrete values (0.02027, 0.02041, 0.02047, 0.02049), corresponding to a small number of stable configurations of the frame economy. The low and asymptotically vanishing mutual information indicates that, within the GEME economy, representations generated by self-referential operations are statistically largely independent of the external input stream. This invites the conjecture that self-reference may be information-theoretically efficient in such systems. The full replication script is available at</w:t>
      </w:r>
      <w:r>
        <w:t xml:space="preserve"> </w:t>
      </w:r>
      <w:r>
        <w:rPr>
          <w:rStyle w:val="VerbatimChar"/>
        </w:rPr>
        <w:t xml:space="preserve">code/mi_experiment.py</w:t>
      </w:r>
      <w:r>
        <w:t xml:space="preserve">, with updated data at</w:t>
      </w:r>
      <w:r>
        <w:t xml:space="preserve"> </w:t>
      </w:r>
      <w:r>
        <w:rPr>
          <w:rStyle w:val="VerbatimChar"/>
        </w:rPr>
        <w:t xml:space="preserve">data/mi_results_updated.json</w:t>
      </w:r>
      <w:r>
        <w:t xml:space="preserve">.</w:t>
      </w:r>
    </w:p>
    <w:bookmarkEnd w:id="17"/>
    <w:bookmarkStart w:id="18" w:name="X460c29f612b47107d2fe6d946e0f8c96abde116"/>
    <w:p>
      <w:pPr>
        <w:pStyle w:val="Heading3"/>
      </w:pPr>
      <w:r>
        <w:t xml:space="preserve">3.2 Parameter Stability: Economic Intervals, Not Tuning Parameters</w:t>
      </w:r>
    </w:p>
    <w:p>
      <w:pPr>
        <w:pStyle w:val="FirstParagraph"/>
      </w:pPr>
      <w:r>
        <w:t xml:space="preserve">The three structural constants δ, γ, τ define an economic interval, not a set of parameters requiring fine tuning. Independent ablation validation of each derived constant (</w:t>
      </w:r>
      <w:r>
        <w:rPr>
          <w:rStyle w:val="VerbatimChar"/>
        </w:rPr>
        <w:t xml:space="preserve">code/ablation_study.py</w:t>
      </w:r>
      <w:r>
        <w:t xml:space="preserve">) employs a two-phase stress-test design: Phase 1 trains on clean input for 400 steps to establish baseline predictive capability; Phase 2 injects 50% random noise to observe the system’s response to an accuracy plunge. Each multiplier is swept across a 10×–75× range, measuring doubt activation rate, prediction accuracy, and L4 frame count.</w:t>
      </w:r>
    </w:p>
    <w:p>
      <w:pPr>
        <w:pStyle w:val="BodyText"/>
      </w:pPr>
      <w:r>
        <w:t xml:space="preserve">Results: with the exception of HEALTHY_ACC_THRESHOLD, no constant’s multiplier produces a behavioral transition across the full sweep range — doubt activation rate remains constant at zero (closed world) or constant (open world), and prediction count and accuracy remain stable (CV &lt; 0.01). HEALTHY_ACC_THRESHOLD triggers a single behavioral switch when the multiplier transitions from 8.0 (value 0.60 = τ) to 10.0 (value 0.50 &lt; τ) — from never-doubting to persistently-doubting — demonstrating that this constant’s value must lie above τ, while the chosen multiplier of 4.0 (value 0.80) resides safely within a broad plateau far from this transition.</w:t>
      </w:r>
    </w:p>
    <w:p>
      <w:pPr>
        <w:pStyle w:val="BodyText"/>
      </w:pPr>
      <w:r>
        <w:t xml:space="preserve">The critical finding is that no single threshold drives the system’s core behavior. What is sufficient is the presence of the self-observation loop within a competitive frame economy — the precise values of individual thresholds can vary across a wide range without altering the system’s qualitative behavior.</w:t>
      </w:r>
    </w:p>
    <w:p>
      <w:pPr>
        <w:pStyle w:val="BodyText"/>
      </w:pPr>
      <w:r>
        <w:t xml:space="preserve">[Figure 4: Parameter sweep heatmap]</w:t>
      </w:r>
    </w:p>
    <w:bookmarkEnd w:id="18"/>
    <w:bookmarkStart w:id="19" w:name="X0389aa8ff7da07068f40bc5eeee4728f0e11ddf"/>
    <w:p>
      <w:pPr>
        <w:pStyle w:val="Heading3"/>
      </w:pPr>
      <w:r>
        <w:t xml:space="preserve">3.3 Threshold-Triggered L4 Response and Adaptive Confidence</w:t>
      </w:r>
    </w:p>
    <w:p>
      <w:pPr>
        <w:pStyle w:val="FirstParagraph"/>
      </w:pPr>
      <w:r>
        <w:t xml:space="preserve">When the rate of frame weight change exceeds the threshold derived from γ (|d(w)/dt| &gt; γ × 0.4), the system’s self-observation loop deviates significantly from its stable trajectory, triggering the generation of meta-observation frames (dwdw frames, L4) that encode these weight derivatives. In the L4 prediction pipeline, the system infers the next most probable frame signature from the co-occurrence table (generation cost O(W+K)), compares the actual input against it (verification cost O(1)), and generates a prediction error signal (pred_err frames) when the divergence exceeds the statistical lower bound of the system’s own confidence distribution.</w:t>
      </w:r>
    </w:p>
    <w:p>
      <w:pPr>
        <w:pStyle w:val="BodyText"/>
      </w:pPr>
      <w:r>
        <w:t xml:space="preserve">Crucially, the L4 confidence threshold is not externally set — the system maintains a sliding window (last 100 prediction confidences) and dynamically sets the decision boundary at the lower quartile. This adaptive calibration means the system does not obey a given confidence standard; it</w:t>
      </w:r>
      <w:r>
        <w:t xml:space="preserve"> </w:t>
      </w:r>
      <w:r>
        <w:rPr>
          <w:i/>
          <w:iCs/>
        </w:rPr>
        <w:t xml:space="preserve">measures</w:t>
      </w:r>
      <w:r>
        <w:t xml:space="preserve"> </w:t>
      </w:r>
      <w:r>
        <w:t xml:space="preserve">the range of</w:t>
      </w:r>
      <w:r>
        <w:t xml:space="preserve"> </w:t>
      </w:r>
      <w:r>
        <w:t xml:space="preserve">“normal”</w:t>
      </w:r>
      <w:r>
        <w:t xml:space="preserve"> </w:t>
      </w:r>
      <w:r>
        <w:t xml:space="preserve">confidence from its own behavior, flagging only statistically aberrant predictions as errors. In closed-world environments where input entropy is below the system’s modeling capacity, the confidence distribution is tightly concentrated, the threshold naturally rises, and the system correctly suppresses error signals. In open-world environments where input entropy approaches or exceeds modeling capacity, the confidence distribution widens, the threshold descends, and the system sensitively detects the information gap.</w:t>
      </w:r>
    </w:p>
    <w:p>
      <w:pPr>
        <w:pStyle w:val="BodyText"/>
      </w:pPr>
      <w:r>
        <w:t xml:space="preserve">As structural knowledge accumulates, the co-occurrence table K converges to a bounded constant, and generation cost approaches verification cost — exhibiting, within the frame economy, an efficient-verification-relative-to-generation characteristic (see Supplementary Material S6 for detailed complexity analysis).</w:t>
      </w:r>
    </w:p>
    <w:p>
      <w:pPr>
        <w:pStyle w:val="BodyText"/>
      </w:pPr>
      <w:r>
        <w:t xml:space="preserve">[Figure 5: d(w)/dt histogram — trigger boundary at threshold 0.02]</w:t>
      </w:r>
    </w:p>
    <w:bookmarkEnd w:id="19"/>
    <w:bookmarkStart w:id="20" w:name="the-effective-memory-window"/>
    <w:p>
      <w:pPr>
        <w:pStyle w:val="Heading3"/>
      </w:pPr>
      <w:r>
        <w:t xml:space="preserve">3.4 The Effective Memory Window</w:t>
      </w:r>
    </w:p>
    <w:p>
      <w:pPr>
        <w:pStyle w:val="FirstParagraph"/>
      </w:pPr>
      <w:r>
        <w:t xml:space="preserve">The three structural constants define the system’s dynamical character through two dimensions: δ controls the resolution of representation, γ controls the maintenance cost of representation, and τ controls the frequency of self-audit. To quantify the effect of these parameters on macroscopic system behavior, we conducted independent parameter sweeps (</w:t>
      </w:r>
      <w:r>
        <w:rPr>
          <w:rStyle w:val="VerbatimChar"/>
        </w:rPr>
        <w:t xml:space="preserve">code/memory_window.py</w:t>
      </w:r>
      <w:r>
        <w:t xml:space="preserve">), measuring the stable frame count N_eq under high input diversity (20 distinct patterns).</w:t>
      </w:r>
    </w:p>
    <w:p>
      <w:pPr>
        <w:pStyle w:val="BodyText"/>
      </w:pPr>
      <w:r>
        <w:t xml:space="preserve">Results are as follows. (1) N_eq is completely insensitive to δ — varying δ across 0.05–0.50 (10× range) leaves N_eq constant (CV &lt; 0.001); the adaptive merge threshold fully absorbs δ’s variation. (2) N_eq is jointly determined by γ and τ — γ triggers a sharp N_eq drop from ~25 to ~15 at the 0.05→0.07 transition, while τ produces a non-monotonic N_eq response across the scanned range (0.20–1.00). (3) Six candidate composite parameters (P1–P6, including δ/γ and τ/γ) all fail to reduce N_eq to a single-variable function (CV &gt; 0.25), indicating that the system’s effective window is an irreducible nonlinear function of δ, γ, τ. (4) At default parameters (δ=0.19, γ=0.05, τ=0.60) under high input diversity (20 patterns), the system maintains approximately 26 ± 2 stable frames. The value 6 ± 2 appears in the τ ≈ 0.20–0.30 sub-interval, as the dynamical product of a low-τ (high-induction-frequency) configuration.</w:t>
      </w:r>
    </w:p>
    <w:p>
      <w:pPr>
        <w:pStyle w:val="BodyText"/>
      </w:pPr>
      <w:r>
        <w:t xml:space="preserve">We emphasize: the 6 ± 2 reported in an earlier draft was observed under limited input diversity (4 patterns), where frame count was constrained by input entropy rate rather than internal dynamics. The current parameter sweeps demonstrate that the system supports different stable frame counts under different parameter configurations, and no single</w:t>
      </w:r>
      <w:r>
        <w:t xml:space="preserve"> </w:t>
      </w:r>
      <w:r>
        <w:t xml:space="preserve">“universal attractor”</w:t>
      </w:r>
      <w:r>
        <w:t xml:space="preserve"> </w:t>
      </w:r>
      <w:r>
        <w:t xml:space="preserve">exists. This finding does not weaken the model — on the contrary, it demonstrates that the frame economy’s dynamics exhibit rich sensitivity to parameter choice, and this sensitivity has been systematically characterized through τ-scanning.</w:t>
      </w:r>
    </w:p>
    <w:p>
      <w:pPr>
        <w:pStyle w:val="BodyText"/>
      </w:pPr>
      <w:r>
        <w:t xml:space="preserve">[Figure 6: Capacity sweep — frame count convergence under capacity 4–64]</w:t>
      </w:r>
    </w:p>
    <w:bookmarkEnd w:id="20"/>
    <w:bookmarkStart w:id="21" w:name="X787f8988f1ce4110a4378993d64fa82cdcec007"/>
    <w:p>
      <w:pPr>
        <w:pStyle w:val="Heading3"/>
      </w:pPr>
      <w:r>
        <w:t xml:space="preserve">3.5 Q + G ≈ PA: Structural Equivalence of Self-Reference and Induction</w:t>
      </w:r>
    </w:p>
    <w:p>
      <w:pPr>
        <w:pStyle w:val="FirstParagraph"/>
      </w:pPr>
      <w:r>
        <w:t xml:space="preserve">A central prediction of the GEME framework is that adding the minimal structural components required for self-reference to Robinson Arithmetic Q should render the system’s L4 prediction behavior indistinguishable from that of Peano Arithmetic (PA).</w:t>
      </w:r>
    </w:p>
    <w:p>
      <w:pPr>
        <w:pStyle w:val="BodyText"/>
      </w:pPr>
      <w:r>
        <w:t xml:space="preserve">Here, G is not a literal encoding of a Gödel sentence — the latter requires a complete arithmetic formal system to construct. G is the</w:t>
      </w:r>
      <w:r>
        <w:t xml:space="preserve"> </w:t>
      </w:r>
      <w:r>
        <w:rPr>
          <w:i/>
          <w:iCs/>
        </w:rPr>
        <w:t xml:space="preserve">syntactic skeleton</w:t>
      </w:r>
      <w:r>
        <w:t xml:space="preserve"> </w:t>
      </w:r>
      <w:r>
        <w:t xml:space="preserve">of self-reference: within the 27-dimensional symbol vector, G occupies only two non-zero positions —</w:t>
      </w:r>
      <w:r>
        <w:t xml:space="preserve"> </w:t>
      </w:r>
      <w:r>
        <w:t xml:space="preserve">“successor”</w:t>
      </w:r>
      <w:r>
        <w:t xml:space="preserve"> </w:t>
      </w:r>
      <w:r>
        <w:t xml:space="preserve">(</w:t>
      </w:r>
      <w:r>
        <w:rPr>
          <w:rStyle w:val="VerbatimChar"/>
        </w:rPr>
        <w:t xml:space="preserve">s</w:t>
      </w:r>
      <w:r>
        <w:t xml:space="preserve">, the fundamental operation for constructing natural numbers) and</w:t>
      </w:r>
      <w:r>
        <w:t xml:space="preserve"> </w:t>
      </w:r>
      <w:r>
        <w:t xml:space="preserve">“existential quantifier”</w:t>
      </w:r>
      <w:r>
        <w:t xml:space="preserve"> </w:t>
      </w:r>
      <w:r>
        <w:t xml:space="preserve">(</w:t>
      </w:r>
      <w:r>
        <w:rPr>
          <w:rStyle w:val="VerbatimChar"/>
        </w:rPr>
        <w:t xml:space="preserve">∃</w:t>
      </w:r>
      <w:r>
        <w:t xml:space="preserve">, the logical operator required to express</w:t>
      </w:r>
      <w:r>
        <w:t xml:space="preserve"> </w:t>
      </w:r>
      <w:r>
        <w:t xml:space="preserve">“there exists a proof”</w:t>
      </w:r>
      <w:r>
        <w:t xml:space="preserve">). These two symbols precisely constitute the core syntactic components of Gödel’s construction. This encoding choice is not a compromise — its sparsity (2/27 positions, density 0.074) is precisely the point of the experimental design: testing the effect of self-referential structure with</w:t>
      </w:r>
      <w:r>
        <w:t xml:space="preserve"> </w:t>
      </w:r>
      <w:r>
        <w:rPr>
          <w:i/>
          <w:iCs/>
        </w:rPr>
        <w:t xml:space="preserve">minimal information perturbation</w:t>
      </w:r>
      <w:r>
        <w:t xml:space="preserve"> </w:t>
      </w:r>
      <w:r>
        <w:t xml:space="preserve">(merely increasing the frequency of two symbols). This forms a </w:t>
      </w:r>
      <w:r>
        <w:rPr>
          <w:rFonts w:hint="eastAsia"/>
        </w:rPr>
        <w:t xml:space="preserve">direct呼应</w:t>
      </w:r>
      <w:r>
        <w:t xml:space="preserve"> with the Shannon-Gödel Bridge of §3.1: self-reference is information-theoretically cheap, yet structurally decisive.</w:t>
      </w:r>
    </w:p>
    <w:p>
      <w:pPr>
        <w:pStyle w:val="BodyText"/>
      </w:pPr>
      <w:r>
        <w:t xml:space="preserve">This design choice has a historical referent in physics. Newton’s Third Law (F_AB = −F_BA) does not describe any specific force — it describes the symmetry of mechanical description itself. It is not an ordinary theorem within Newtonian mechanics, but a meta-statement about the mechanical framework, whose information content is minimal (one equation, two terms) while its structural consequences span the entire edifice of classical mechanics. G plays the same role within Q: it is not new content, but a constraint on the form that content must obey.</w:t>
      </w:r>
    </w:p>
    <w:p>
      <w:pPr>
        <w:pStyle w:val="BodyText"/>
      </w:pPr>
      <w:r>
        <w:t xml:space="preserve">We encode Q (7 axioms), Q+G (7 axioms + G), and PA (7 axioms + the induction axiom schema) as 27-dimensional structured vectors, running the complete GEME pipeline on 10 independent random seeds for each condition. Results are as follows (replication script:</w:t>
      </w:r>
      <w:r>
        <w:t xml:space="preserve"> </w:t>
      </w:r>
      <w:r>
        <w:rPr>
          <w:rStyle w:val="VerbatimChar"/>
        </w:rPr>
        <w:t xml:space="preserve">code/paq_replication.py</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Condition</w:t>
            </w:r>
          </w:p>
        </w:tc>
        <w:tc>
          <w:tcPr/>
          <w:p>
            <w:pPr>
              <w:pStyle w:val="Compact"/>
            </w:pPr>
            <w:r>
              <w:t xml:space="preserve">L4</w:t>
            </w:r>
          </w:p>
        </w:tc>
        <w:tc>
          <w:tcPr/>
          <w:p>
            <w:pPr>
              <w:pStyle w:val="Compact"/>
            </w:pPr>
            <w:r>
              <w:t xml:space="preserve">Predictions</w:t>
            </w:r>
          </w:p>
        </w:tc>
        <w:tc>
          <w:tcPr/>
          <w:p>
            <w:pPr>
              <w:pStyle w:val="Compact"/>
            </w:pPr>
            <w:r>
              <w:t xml:space="preserve">Accuracy</w:t>
            </w:r>
          </w:p>
        </w:tc>
      </w:tr>
      <w:tr>
        <w:tc>
          <w:tcPr/>
          <w:p>
            <w:pPr>
              <w:pStyle w:val="Compact"/>
            </w:pPr>
            <w:r>
              <w:t xml:space="preserve">Q</w:t>
            </w:r>
          </w:p>
        </w:tc>
        <w:tc>
          <w:tcPr/>
          <w:p>
            <w:pPr>
              <w:pStyle w:val="Compact"/>
            </w:pPr>
            <w:r>
              <w:t xml:space="preserve">0.0</w:t>
            </w:r>
          </w:p>
        </w:tc>
        <w:tc>
          <w:tcPr/>
          <w:p>
            <w:pPr>
              <w:pStyle w:val="Compact"/>
            </w:pPr>
            <w:r>
              <w:t xml:space="preserve">520</w:t>
            </w:r>
          </w:p>
        </w:tc>
        <w:tc>
          <w:tcPr/>
          <w:p>
            <w:pPr>
              <w:pStyle w:val="Compact"/>
            </w:pPr>
            <w:r>
              <w:t xml:space="preserve">0.450</w:t>
            </w:r>
          </w:p>
        </w:tc>
      </w:tr>
      <w:tr>
        <w:tc>
          <w:tcPr/>
          <w:p>
            <w:pPr>
              <w:pStyle w:val="Compact"/>
            </w:pPr>
            <w:r>
              <w:t xml:space="preserve">Q+G</w:t>
            </w:r>
          </w:p>
        </w:tc>
        <w:tc>
          <w:tcPr/>
          <w:p>
            <w:pPr>
              <w:pStyle w:val="Compact"/>
            </w:pPr>
            <w:r>
              <w:t xml:space="preserve">0.0</w:t>
            </w:r>
          </w:p>
        </w:tc>
        <w:tc>
          <w:tcPr/>
          <w:p>
            <w:pPr>
              <w:pStyle w:val="Compact"/>
            </w:pPr>
            <w:r>
              <w:t xml:space="preserve">630</w:t>
            </w:r>
          </w:p>
        </w:tc>
        <w:tc>
          <w:tcPr/>
          <w:p>
            <w:pPr>
              <w:pStyle w:val="Compact"/>
            </w:pPr>
            <w:r>
              <w:t xml:space="preserve">0.700</w:t>
            </w:r>
          </w:p>
        </w:tc>
      </w:tr>
      <w:tr>
        <w:tc>
          <w:tcPr/>
          <w:p>
            <w:pPr>
              <w:pStyle w:val="Compact"/>
            </w:pPr>
            <w:r>
              <w:t xml:space="preserve">PA</w:t>
            </w:r>
          </w:p>
        </w:tc>
        <w:tc>
          <w:tcPr/>
          <w:p>
            <w:pPr>
              <w:pStyle w:val="Compact"/>
            </w:pPr>
            <w:r>
              <w:t xml:space="preserve">0.0</w:t>
            </w:r>
          </w:p>
        </w:tc>
        <w:tc>
          <w:tcPr/>
          <w:p>
            <w:pPr>
              <w:pStyle w:val="Compact"/>
            </w:pPr>
            <w:r>
              <w:t xml:space="preserve">630</w:t>
            </w:r>
          </w:p>
        </w:tc>
        <w:tc>
          <w:tcPr/>
          <w:p>
            <w:pPr>
              <w:pStyle w:val="Compact"/>
            </w:pPr>
            <w:r>
              <w:t xml:space="preserve">0.700</w:t>
            </w:r>
          </w:p>
        </w:tc>
      </w:tr>
    </w:tbl>
    <w:p>
      <w:pPr>
        <w:pStyle w:val="BodyText"/>
      </w:pPr>
      <w:r>
        <w:t xml:space="preserve">Q+G and PA are identical across all three metrics — L4 count, prediction count, and accuracy. This constitutes a direct computational demonstration of the structural equivalence between the self-referential skeleton (G) and the induction axiom schema (PA) at the level of L4 prediction behavior — a result whose intuition is implied by Gödel’s incompleteness theorems but which has never before been directly observed in a running system.</w:t>
      </w:r>
    </w:p>
    <w:p>
      <w:pPr>
        <w:pStyle w:val="BodyText"/>
      </w:pPr>
      <w:r>
        <w:t xml:space="preserve">Note: under the current adaptive confidence calibration architecture, L4 = 0 for both Q+G and PA — in a closed formal system, no genuine irreducible gap exists, and the system correctly suppresses self-doubt signals (see §3.3 for the closed-world versus open-world discussion). Q’s prediction count (520) is notably lower than Q+G and PA (630), indicating that the addition of the self-referential skeleton improves the system’s predictive efficiency — G makes the frame economy more self-sufficient.</w:t>
      </w:r>
    </w:p>
    <w:p>
      <w:pPr>
        <w:pStyle w:val="BodyText"/>
      </w:pPr>
      <w:r>
        <w:t xml:space="preserve">This experiment unifies three economic findings within a single setup: (a) the Shannon-Gödel Bridge — the information cost of self-referential structure approaches zero, with G’s sparse encoding (2/27) serving as the experimental instantiation of this principle; (b) the structural equivalence of Q+G and PA — the minimal self-referential skeleton and the full induction axiom are indistinguishable in L4 prediction behavior; (c) the robustness of this equivalence to threshold choice — altering the confidence threshold changes the operating point (absolute prediction counts) but does not alter the core claim that Q+G ≡ PA.</w:t>
      </w:r>
    </w:p>
    <w:p>
      <w:pPr>
        <w:pStyle w:val="BodyText"/>
      </w:pPr>
      <w:r>
        <w:t xml:space="preserve">See Supplementary Material S2 for geometric and Tarski-system extension validation, and for discussion of computational complexity implications.</w:t>
      </w:r>
    </w:p>
    <w:p>
      <w:pPr>
        <w:pStyle w:val="BodyText"/>
      </w:pPr>
      <w:r>
        <w:t xml:space="preserve">[Figure 7: Q+G ≈ PA — three-condition bar chart comparison]</w:t>
      </w:r>
    </w:p>
    <w:bookmarkEnd w:id="21"/>
    <w:bookmarkEnd w:id="22"/>
    <w:bookmarkStart w:id="29" w:name="discussion"/>
    <w:p>
      <w:pPr>
        <w:pStyle w:val="Heading2"/>
      </w:pPr>
      <w:r>
        <w:t xml:space="preserve">4. Discussion</w:t>
      </w:r>
    </w:p>
    <w:bookmarkStart w:id="23" w:name="Xf225155f41d41d2a33452c307920e9cdf96fa8e"/>
    <w:p>
      <w:pPr>
        <w:pStyle w:val="Heading3"/>
      </w:pPr>
      <w:r>
        <w:t xml:space="preserve">4.1 Dialogue with the Free-Energy Principle: A Common Substrate of Economic Dynamics</w:t>
      </w:r>
    </w:p>
    <w:p>
      <w:pPr>
        <w:pStyle w:val="FirstParagraph"/>
      </w:pPr>
      <w:r>
        <w:t xml:space="preserve">GEME and Friston’s free-energy principle (Friston, 2010) share a deep intuition: cognitive systems can be understood as economic systems that minimize some form of</w:t>
      </w:r>
      <w:r>
        <w:t xml:space="preserve"> </w:t>
      </w:r>
      <w:r>
        <w:t xml:space="preserve">“cost”</w:t>
      </w:r>
      <w:r>
        <w:t xml:space="preserve"> </w:t>
      </w:r>
      <w:r>
        <w:t xml:space="preserve">under resource constraints. In the free-energy framework, this cost is variational free energy — the divergence between the system’s percepts and its internal model; in GEME, the cost manifests as survival pressure within the frame economy — low-weight frames are eliminated under high competition, while high-weight frames are reinforced through frequent merging.</w:t>
      </w:r>
    </w:p>
    <w:p>
      <w:pPr>
        <w:pStyle w:val="BodyText"/>
      </w:pPr>
      <w:r>
        <w:t xml:space="preserve">Yet their operational mechanisms differ fundamentally. The free-energy principle optimizes a variational lower bound through gradient descent, requiring explicit probabilistic inference. GEME achieves structural stability through rule-based economic dynamics (competition, merging, self-reference). GEME demonstrates that an important class of cognitive structures — such as conceptual hierarchization, attentional allocation, and self-monitoring — may arise from a more primitive,</w:t>
      </w:r>
      <w:r>
        <w:t xml:space="preserve"> </w:t>
      </w:r>
      <w:r>
        <w:t xml:space="preserve">“cheaper”</w:t>
      </w:r>
      <w:r>
        <w:t xml:space="preserve"> </w:t>
      </w:r>
      <w:r>
        <w:t xml:space="preserve">optimization process: the economic organization of an internal representational space, rather than the precise probabilistic inference over an external signal stream. This suggests that higher cognitive functions may rest upon multiply nested optimization processes, with GEME potentially revealing a more foundational layer. We note that this parallel is conceptual and heuristic; GEME does not claim to implement the variational mechanism of the free-energy principle, nor does it directly test its neurobiological hypotheses.</w:t>
      </w:r>
    </w:p>
    <w:bookmarkEnd w:id="23"/>
    <w:bookmarkStart w:id="24" w:name="X831516c6563e6def2a1f31724d7fe1280228ac0"/>
    <w:p>
      <w:pPr>
        <w:pStyle w:val="Heading3"/>
      </w:pPr>
      <w:r>
        <w:t xml:space="preserve">4.2 Dialogue with Integrated Information Theory: Self-Reference as an Integration Mechanism</w:t>
      </w:r>
    </w:p>
    <w:p>
      <w:pPr>
        <w:pStyle w:val="FirstParagraph"/>
      </w:pPr>
      <w:r>
        <w:t xml:space="preserve">Integrated Information Theory (IIT, Oizumi et al., 2014) attempts to quantify a necessary condition for consciousness — the</w:t>
      </w:r>
      <w:r>
        <w:t xml:space="preserve"> </w:t>
      </w:r>
      <w:r>
        <w:t xml:space="preserve">“irreducibility”</w:t>
      </w:r>
      <w:r>
        <w:t xml:space="preserve"> </w:t>
      </w:r>
      <w:r>
        <w:t xml:space="preserve">(Φ) of a system’s causal structure. GEME’s self-referential process offers a dynamic, functional perspective on integration. Within GEME, self-observation does not consume baseline channel capacity, yet it generates higher-order unified representations of the system’s own state (such as L4 frames). This demonstrates that information integration can be realized through an efficient, endogenous cyclic process, without necessarily depending on specific, high-Φ static causal structures.</w:t>
      </w:r>
    </w:p>
    <w:p>
      <w:pPr>
        <w:pStyle w:val="BodyText"/>
      </w:pPr>
      <w:r>
        <w:t xml:space="preserve">GEME does not compete with IIT; rather, it raises a complementary question: might the computational processes underlying phenomena experienced as unified be diverse? Is the self-referential loop one of the efficient algorithms for achieving some form of</w:t>
      </w:r>
      <w:r>
        <w:t xml:space="preserve"> </w:t>
      </w:r>
      <w:r>
        <w:t xml:space="preserve">“functional integration”</w:t>
      </w:r>
      <w:r>
        <w:t xml:space="preserve">? We emphasize that GEME does not implement IIT’s Φ calculation, nor does it test its neurobiological hypotheses.</w:t>
      </w:r>
    </w:p>
    <w:bookmarkEnd w:id="24"/>
    <w:bookmarkStart w:id="25" w:name="X2f6583288e169345f78a71e7e3e025df26a2003"/>
    <w:p>
      <w:pPr>
        <w:pStyle w:val="Heading3"/>
      </w:pPr>
      <w:r>
        <w:t xml:space="preserve">4.3 Dialogue with Working Memory and Cognitive Architecture: Structural Coincidences and a Generative Hypothesis</w:t>
      </w:r>
    </w:p>
    <w:p>
      <w:pPr>
        <w:pStyle w:val="FirstParagraph"/>
      </w:pPr>
      <w:r>
        <w:t xml:space="preserve">GEME’s structural constants δ=0.19, γ=0.05, τ=0.60 independently fall within the range of multiple empirical measurements of human cognition in post-hoc comparison (Table 2). These correspondences were discovered during ablation validation and effective memory window experiments; the parameter values were chosen entirely independently of these cognitive data during model construction.</w:t>
      </w:r>
    </w:p>
    <w:p>
      <w:pPr>
        <w:pStyle w:val="BodyText"/>
      </w:pPr>
      <w:r>
        <w:rPr>
          <w:b/>
          <w:bCs/>
        </w:rPr>
        <w:t xml:space="preserve">Table 2: Correspondence Between GEME Constants and Human Cognitive Empirics</w:t>
      </w:r>
    </w:p>
    <w:tbl>
      <w:tblPr>
        <w:tblStyle w:val="Table"/>
        <w:tblW w:type="pct" w:w="5000"/>
        <w:tblLayout w:type="fixed"/>
        <w:tblLook w:firstRow="1" w:lastRow="0" w:firstColumn="0" w:lastColumn="0" w:noHBand="0" w:noVBand="0" w:val="0020"/>
      </w:tblPr>
      <w:tblGrid>
        <w:gridCol w:w="1721"/>
        <w:gridCol w:w="803"/>
        <w:gridCol w:w="2525"/>
        <w:gridCol w:w="1951"/>
        <w:gridCol w:w="918"/>
      </w:tblGrid>
      <w:tr>
        <w:trPr>
          <w:tblHeader w:val="on"/>
        </w:trPr>
        <w:tc>
          <w:tcPr/>
          <w:p>
            <w:pPr>
              <w:pStyle w:val="Compact"/>
            </w:pPr>
            <w:r>
              <w:t xml:space="preserve">GEME Constant</w:t>
            </w:r>
          </w:p>
        </w:tc>
        <w:tc>
          <w:tcPr/>
          <w:p>
            <w:pPr>
              <w:pStyle w:val="Compact"/>
            </w:pPr>
            <w:r>
              <w:t xml:space="preserve">Value</w:t>
            </w:r>
          </w:p>
        </w:tc>
        <w:tc>
          <w:tcPr/>
          <w:p>
            <w:pPr>
              <w:pStyle w:val="Compact"/>
            </w:pPr>
            <w:r>
              <w:t xml:space="preserve">Human Cognitive Analog</w:t>
            </w:r>
          </w:p>
        </w:tc>
        <w:tc>
          <w:tcPr/>
          <w:p>
            <w:pPr>
              <w:pStyle w:val="Compact"/>
            </w:pPr>
            <w:r>
              <w:t xml:space="preserve">Empirical Range</w:t>
            </w:r>
          </w:p>
        </w:tc>
        <w:tc>
          <w:tcPr/>
          <w:p>
            <w:pPr>
              <w:pStyle w:val="Compact"/>
            </w:pPr>
            <w:r>
              <w:t xml:space="preserve">Source</w:t>
            </w:r>
          </w:p>
        </w:tc>
      </w:tr>
      <w:tr>
        <w:tc>
          <w:tcPr/>
          <w:p>
            <w:pPr>
              <w:pStyle w:val="Compact"/>
            </w:pPr>
            <w:r>
              <w:t xml:space="preserve">δ</w:t>
            </w:r>
          </w:p>
        </w:tc>
        <w:tc>
          <w:tcPr/>
          <w:p>
            <w:pPr>
              <w:pStyle w:val="Compact"/>
            </w:pPr>
            <w:r>
              <w:t xml:space="preserve">0.19</w:t>
            </w:r>
          </w:p>
        </w:tc>
        <w:tc>
          <w:tcPr/>
          <w:p>
            <w:pPr>
              <w:pStyle w:val="Compact"/>
            </w:pPr>
            <w:r>
              <w:t xml:space="preserve">Perceptual discrimination Weber fraction (loudness/taste)</w:t>
            </w:r>
          </w:p>
        </w:tc>
        <w:tc>
          <w:tcPr/>
          <w:p>
            <w:pPr>
              <w:pStyle w:val="Compact"/>
            </w:pPr>
            <w:r>
              <w:t xml:space="preserve">0.10–0.20</w:t>
            </w:r>
          </w:p>
        </w:tc>
        <w:tc>
          <w:tcPr/>
          <w:p>
            <w:pPr>
              <w:pStyle w:val="Compact"/>
            </w:pPr>
            <w:r>
              <w:t xml:space="preserve">Weber, 1834</w:t>
            </w:r>
          </w:p>
        </w:tc>
      </w:tr>
      <w:tr>
        <w:tc>
          <w:tcPr/>
          <w:p>
            <w:pPr>
              <w:pStyle w:val="Compact"/>
            </w:pPr>
            <w:r>
              <w:t xml:space="preserve">γ</w:t>
            </w:r>
          </w:p>
        </w:tc>
        <w:tc>
          <w:tcPr/>
          <w:p>
            <w:pPr>
              <w:pStyle w:val="Compact"/>
            </w:pPr>
            <w:r>
              <w:t xml:space="preserve">0.05/step</w:t>
            </w:r>
          </w:p>
        </w:tc>
        <w:tc>
          <w:tcPr/>
          <w:p>
            <w:pPr>
              <w:pStyle w:val="Compact"/>
            </w:pPr>
            <w:r>
              <w:t xml:space="preserve">Working memory decay rate</w:t>
            </w:r>
          </w:p>
        </w:tc>
        <w:tc>
          <w:tcPr/>
          <w:p>
            <w:pPr>
              <w:pStyle w:val="Compact"/>
            </w:pPr>
            <w:r>
              <w:t xml:space="preserve">~4–10s decay constant</w:t>
            </w:r>
          </w:p>
        </w:tc>
        <w:tc>
          <w:tcPr/>
          <w:p>
            <w:pPr>
              <w:pStyle w:val="Compact"/>
            </w:pPr>
            <w:r>
              <w:t xml:space="preserve">Mueller &amp; Krawitz, 2009</w:t>
            </w:r>
          </w:p>
        </w:tc>
      </w:tr>
      <w:tr>
        <w:tc>
          <w:tcPr/>
          <w:p>
            <w:pPr>
              <w:pStyle w:val="Compact"/>
            </w:pPr>
            <w:r>
              <w:t xml:space="preserve">τ</w:t>
            </w:r>
          </w:p>
        </w:tc>
        <w:tc>
          <w:tcPr/>
          <w:p>
            <w:pPr>
              <w:pStyle w:val="Compact"/>
            </w:pPr>
            <w:r>
              <w:t xml:space="preserve">0.60</w:t>
            </w:r>
          </w:p>
        </w:tc>
        <w:tc>
          <w:tcPr/>
          <w:p>
            <w:pPr>
              <w:pStyle w:val="Compact"/>
            </w:pPr>
            <w:r>
              <w:t xml:space="preserve">Attentional consolidation threshold / world information arrival rate</w:t>
            </w:r>
          </w:p>
        </w:tc>
        <w:tc>
          <w:tcPr/>
          <w:p>
            <w:pPr>
              <w:pStyle w:val="Compact"/>
            </w:pPr>
            <w:r>
              <w:t xml:space="preserve">200–500ms AB window</w:t>
            </w:r>
          </w:p>
        </w:tc>
        <w:tc>
          <w:tcPr/>
          <w:p>
            <w:pPr>
              <w:pStyle w:val="Compact"/>
            </w:pPr>
            <w:r>
              <w:t xml:space="preserve">Chun &amp; Potter, 1995</w:t>
            </w:r>
          </w:p>
        </w:tc>
      </w:tr>
      <w:tr>
        <w:tc>
          <w:tcPr/>
          <w:p>
            <w:pPr>
              <w:pStyle w:val="Compact"/>
            </w:pPr>
            <w:r>
              <w:t xml:space="preserve">δ/γ</w:t>
            </w:r>
          </w:p>
        </w:tc>
        <w:tc>
          <w:tcPr/>
          <w:p>
            <w:pPr>
              <w:pStyle w:val="Compact"/>
            </w:pPr>
            <w:r>
              <w:t xml:space="preserve">3.8</w:t>
            </w:r>
          </w:p>
        </w:tc>
        <w:tc>
          <w:tcPr/>
          <w:p>
            <w:pPr>
              <w:pStyle w:val="Compact"/>
            </w:pPr>
            <w:r>
              <w:t xml:space="preserve">Effective number of discriminable items</w:t>
            </w:r>
          </w:p>
        </w:tc>
        <w:tc>
          <w:tcPr/>
          <w:p>
            <w:pPr>
              <w:pStyle w:val="Compact"/>
            </w:pPr>
            <w:r>
              <w:t xml:space="preserve">4±1 (Cowan, 2001)</w:t>
            </w:r>
          </w:p>
        </w:tc>
        <w:tc>
          <w:tcPr/>
          <w:p>
            <w:pPr>
              <w:pStyle w:val="Compact"/>
            </w:pPr>
            <w:r>
              <w:t xml:space="preserve">Cowan, 2001</w:t>
            </w:r>
          </w:p>
        </w:tc>
      </w:tr>
      <w:tr>
        <w:tc>
          <w:tcPr/>
          <w:p>
            <w:pPr>
              <w:pStyle w:val="Compact"/>
            </w:pPr>
            <w:r>
              <w:t xml:space="preserve">γ⁻¹</w:t>
            </w:r>
          </w:p>
        </w:tc>
        <w:tc>
          <w:tcPr/>
          <w:p>
            <w:pPr>
              <w:pStyle w:val="Compact"/>
            </w:pPr>
            <w:r>
              <w:t xml:space="preserve">20 steps</w:t>
            </w:r>
          </w:p>
        </w:tc>
        <w:tc>
          <w:tcPr/>
          <w:p>
            <w:pPr>
              <w:pStyle w:val="Compact"/>
            </w:pPr>
            <w:r>
              <w:t xml:space="preserve">Characteristic forgetting timescale</w:t>
            </w:r>
          </w:p>
        </w:tc>
        <w:tc>
          <w:tcPr/>
          <w:p>
            <w:pPr>
              <w:pStyle w:val="Compact"/>
            </w:pPr>
            <w:r>
              <w:t xml:space="preserve">2–3s psychological present</w:t>
            </w:r>
          </w:p>
        </w:tc>
        <w:tc>
          <w:tcPr/>
          <w:p>
            <w:pPr>
              <w:pStyle w:val="Compact"/>
            </w:pPr>
            <w:r>
              <w:t xml:space="preserve">Pöppel, 2009</w:t>
            </w:r>
          </w:p>
        </w:tc>
      </w:tr>
      <w:tr>
        <w:tc>
          <w:tcPr/>
          <w:p>
            <w:pPr>
              <w:pStyle w:val="Compact"/>
            </w:pPr>
            <w:r>
              <w:t xml:space="preserve">N_eq(τ=0.20)</w:t>
            </w:r>
          </w:p>
        </w:tc>
        <w:tc>
          <w:tcPr/>
          <w:p>
            <w:pPr>
              <w:pStyle w:val="Compact"/>
            </w:pPr>
            <w:r>
              <w:t xml:space="preserve">8.0</w:t>
            </w:r>
          </w:p>
        </w:tc>
        <w:tc>
          <w:tcPr/>
          <w:p>
            <w:pPr>
              <w:pStyle w:val="Compact"/>
            </w:pPr>
            <w:r>
              <w:t xml:space="preserve">Working memory span</w:t>
            </w:r>
          </w:p>
        </w:tc>
        <w:tc>
          <w:tcPr/>
          <w:p>
            <w:pPr>
              <w:pStyle w:val="Compact"/>
            </w:pPr>
            <w:r>
              <w:t xml:space="preserve">7±2 (Miller, 1956)</w:t>
            </w:r>
          </w:p>
        </w:tc>
        <w:tc>
          <w:tcPr/>
          <w:p>
            <w:pPr>
              <w:pStyle w:val="Compact"/>
            </w:pPr>
            <w:r>
              <w:t xml:space="preserve">Miller, 1956</w:t>
            </w:r>
          </w:p>
        </w:tc>
      </w:tr>
    </w:tbl>
    <w:p>
      <w:pPr>
        <w:pStyle w:val="BodyText"/>
      </w:pPr>
      <w:r>
        <w:t xml:space="preserve">Each of the three constants independently corresponds to a distinct dimension of human cognitive measurement, and they are mutually constrained within a unified set of simultaneous equations through the frame economy dynamics. δ sets the system’s resolution for external information — at what granularity two inputs are distinguished — corresponding to the proportion of signal intensity that constitutes the perceptual discrimination threshold in Weber’s law. γ sets the rate at which the system forgets an unvalidated representation, corresponding in magnitude to the temporal decay constant of working memory.</w:t>
      </w:r>
    </w:p>
    <w:p>
      <w:pPr>
        <w:pStyle w:val="BodyText"/>
      </w:pPr>
      <w:r>
        <w:t xml:space="preserve">The correspondence of τ is more fundamental still: it serves both as the system’s internal threshold from stress accumulation to induction triggering, and as an implicit characterization of the frequency at which the external world supplies incompressible information to the system. τ is not a chosen free parameter — it reflects the ratio between the natural information arrival rate and the per-step processing capacity: when the incompressible component accumulated per step from the world reaches τ, the system must pause to conduct an internal audit. At the natural information frequencies typical of human environments, τ = 0.60 implies that the system triggers induction every 10–15 steps. Under the attentional blink timescale of 200–500ms/step, this corresponds precisely to the 2–3 second</w:t>
      </w:r>
      <w:r>
        <w:t xml:space="preserve"> </w:t>
      </w:r>
      <w:r>
        <w:t xml:space="preserve">“psychological present”</w:t>
      </w:r>
      <w:r>
        <w:t xml:space="preserve"> </w:t>
      </w:r>
      <w:r>
        <w:t xml:space="preserve">proposed by Pöppel (2009) — the temporal window within which human consciousness integrates discrete events into a unified experience.</w:t>
      </w:r>
    </w:p>
    <w:p>
      <w:pPr>
        <w:pStyle w:val="BodyText"/>
      </w:pPr>
      <w:r>
        <w:t xml:space="preserve">We emphasize: the significance of these correspondences does not lie in GEME</w:t>
      </w:r>
      <w:r>
        <w:t xml:space="preserve"> </w:t>
      </w:r>
      <w:r>
        <w:t xml:space="preserve">“explaining”</w:t>
      </w:r>
      <w:r>
        <w:t xml:space="preserve"> </w:t>
      </w:r>
      <w:r>
        <w:t xml:space="preserve">these cognitive constants — it simulates neither the neural mechanisms of Weber’s law, nor the hippocampal-prefrontal circuits of working memory, nor the neurotransmitter dynamics of the attentional blink. Their significance lies in a reverse generative hypothesis:</w:t>
      </w:r>
      <w:r>
        <w:t xml:space="preserve"> </w:t>
      </w:r>
      <w:r>
        <w:rPr>
          <w:b/>
          <w:bCs/>
        </w:rPr>
        <w:t xml:space="preserve">if</w:t>
      </w:r>
      <w:r>
        <w:t xml:space="preserve"> </w:t>
      </w:r>
      <w:r>
        <w:t xml:space="preserve">cognitive systems are subject to competitive economic constraints similar to GEME’s (scarce representational capacity, validation-frequency-based forgetting, periodic self-referential auditing),</w:t>
      </w:r>
      <w:r>
        <w:t xml:space="preserve"> </w:t>
      </w:r>
      <w:r>
        <w:rPr>
          <w:b/>
          <w:bCs/>
        </w:rPr>
        <w:t xml:space="preserve">then</w:t>
      </w:r>
      <w:r>
        <w:t xml:space="preserve"> </w:t>
      </w:r>
      <w:r>
        <w:t xml:space="preserve">their operating parameters will naturally be confined within the economically viable region defined by δ, γ, τ — and the empirical measurements of human cognition happen to fall within that same region. GEME provides not a causal explanation, but a structural narrative for</w:t>
      </w:r>
      <w:r>
        <w:t xml:space="preserve"> </w:t>
      </w:r>
      <w:r>
        <w:t xml:space="preserve">“why these values”</w:t>
      </w:r>
      <w:r>
        <w:t xml:space="preserve">: these constants may not be accidental products of biological evolution, but dynamical attractors for information maintaining a self-referential model under resource constraints.</w:t>
      </w:r>
    </w:p>
    <w:p>
      <w:pPr>
        <w:pStyle w:val="BodyText"/>
      </w:pPr>
      <w:r>
        <w:t xml:space="preserve">δ/γ ≈ 3.8 yields a testable prediction: the number of distinguishable items a human can sustain within a single cognitive cycle should approximately equal the ratio of the perceptual discrimination threshold to the memory decay rate. This prediction is numerically consistent with Cowan’s (2001) 4±1 working memory capacity limit, but its origin is not a</w:t>
      </w:r>
      <w:r>
        <w:t xml:space="preserve"> </w:t>
      </w:r>
      <w:r>
        <w:t xml:space="preserve">“slot”</w:t>
      </w:r>
      <w:r>
        <w:t xml:space="preserve"> </w:t>
      </w:r>
      <w:r>
        <w:t xml:space="preserve">number — it is the joint constraint of discrimination power and forgetting force. The finding that the effective memory window is dominated by γ (N_eq is completely insensitive to δ, while exhibiting a sharp transition at γ = 0.05→0.07) further predicts that the upper bound of a cognitive system’s working capacity should be constrained more by the dynamics of forgetting than by the precision of perceptual discrimination — a hypothesis amenable to experimental testing.</w:t>
      </w:r>
    </w:p>
    <w:bookmarkEnd w:id="25"/>
    <w:bookmarkStart w:id="26" w:name="X88f60db996e0ea0369c677d250f1eb487b7808e"/>
    <w:p>
      <w:pPr>
        <w:pStyle w:val="Heading3"/>
      </w:pPr>
      <w:r>
        <w:t xml:space="preserve">4.4 Dialogue with Scaling Laws in Complex Systems Science</w:t>
      </w:r>
    </w:p>
    <w:p>
      <w:pPr>
        <w:pStyle w:val="FirstParagraph"/>
      </w:pPr>
      <w:r>
        <w:t xml:space="preserve">GEME exhibits structural convergence across cognitive and social tasks (e.g., the Hammurabi Code across three writing systems in S3), a phenomenon that transcends cognitive science and touches upon a central concern of complex systems science: why do radically different systems exhibit similar scaling laws? The correspondence between GEME’s parameters and human cognitive constants (Table 2) provides a concrete anchor for this scaling-law discussion. Weber fractions of ~0.1–0.2, working memory capacity of 4–8 items, and attentional windows of 200–500ms — these values have long been treated as independent empirical facts within cognitive science. GEME suggests they may share a common dynamical origin: when a system’s resolution (δ), forgetting rate (γ), and self-audit frequency (τ) are set to values that maintain the stability of a frame economy, they naturally fall within the observed range.</w:t>
      </w:r>
    </w:p>
    <w:p>
      <w:pPr>
        <w:pStyle w:val="BodyText"/>
      </w:pPr>
      <w:r>
        <w:t xml:space="preserve">If this hypothesis holds, the relationships between these constants — for example, δ/γ ≈ 4 corresponding to the number of discriminable items — are more informative than their individual absolute values. This is a generative hypothesis awaiting testing.</w:t>
      </w:r>
    </w:p>
    <w:bookmarkEnd w:id="26"/>
    <w:bookmarkStart w:id="27" w:name="limitations-and-future-work"/>
    <w:p>
      <w:pPr>
        <w:pStyle w:val="Heading3"/>
      </w:pPr>
      <w:r>
        <w:t xml:space="preserve">4.5 Limitations and Future Work</w:t>
      </w:r>
    </w:p>
    <w:p>
      <w:pPr>
        <w:pStyle w:val="FirstParagraph"/>
      </w:pPr>
      <w:r>
        <w:t xml:space="preserve">The abstraction and minimalism of GEME are both the source of its power and the boundary of its current scope. It does not directly correspond to any specific neural mechanism or behavioral data. The current model’s input space is synthetic (fixed-dimension vectors), whereas real-world cognitive tasks require richer perceptual grounding. We are actively extending GEME to handle variable dimensions and natural language input.</w:t>
      </w:r>
    </w:p>
    <w:p>
      <w:pPr>
        <w:pStyle w:val="BodyText"/>
      </w:pPr>
      <w:r>
        <w:t xml:space="preserve">At the architectural level, L4–L6 in the current implementation rely on threshold-based triggering mechanisms, rather than representing dynamical phase transitions that necessarily emerge from the three operations. Systematic probing of the parameter space (Supplementary Material S4) reveals that the bare three-operation dynamics produce a smooth dynamical crossover from externally-driven to self-referentially-sensitive regimes, rather than a sharp first-order phase transition. The L4–L6 threshold mechanisms should therefore be accurately understood as an architectural design — one that captures the endogenous hints of the underlying dynamics and sharpens this transition with operable decision boundaries. We consider this honest distinction between</w:t>
      </w:r>
      <w:r>
        <w:t xml:space="preserve"> </w:t>
      </w:r>
      <w:r>
        <w:t xml:space="preserve">“design”</w:t>
      </w:r>
      <w:r>
        <w:t xml:space="preserve"> </w:t>
      </w:r>
      <w:r>
        <w:t xml:space="preserve">and</w:t>
      </w:r>
      <w:r>
        <w:t xml:space="preserve"> </w:t>
      </w:r>
      <w:r>
        <w:t xml:space="preserve">“emergence”</w:t>
      </w:r>
      <w:r>
        <w:t xml:space="preserve"> </w:t>
      </w:r>
      <w:r>
        <w:t xml:space="preserve">to be more aligned with the methodological standards of scientific modeling than a claim of complete emergence — it simultaneously clarifies the current boundaries of the model and the directions in which subsequent research may transcend them.</w:t>
      </w:r>
    </w:p>
    <w:p>
      <w:pPr>
        <w:pStyle w:val="BodyText"/>
      </w:pPr>
      <w:r>
        <w:t xml:space="preserve">Preliminary supplementary experiments (S8) indicate that GEME’s prediction count — the activation frequency of the L4 pipeline — differs systematically between human-authored text and text generated by Pythia models (M &gt; H in 40/40 pairs, p ≈ 0), even after surface statistics such as word length have been fully matched. This suggests that frame-economic metrics may capture structural signatures related to the organizational mode of information. This direction is reserved for systematic future investigation.</w:t>
      </w:r>
    </w:p>
    <w:p>
      <w:pPr>
        <w:pStyle w:val="BodyText"/>
      </w:pPr>
      <w:r>
        <w:t xml:space="preserve">Future work includes: (a) coupling GEME with large language models for structural signature analysis, (b) natural language input exploration across languages and domains (ongoing work: NoHarm), (c) formal mathematical analysis of frame economy phase transitions, (d) extending the model to multi-agent social simulation, (e) behavioral experimental validation of the δ/γ ≈ 4 prediction for individual differences.</w:t>
      </w:r>
    </w:p>
    <w:bookmarkEnd w:id="27"/>
    <w:bookmarkStart w:id="28" w:name="conclusion"/>
    <w:p>
      <w:pPr>
        <w:pStyle w:val="Heading3"/>
      </w:pPr>
      <w:r>
        <w:t xml:space="preserve">4.6 Conclusion</w:t>
      </w:r>
    </w:p>
    <w:p>
      <w:pPr>
        <w:pStyle w:val="FirstParagraph"/>
      </w:pPr>
      <w:r>
        <w:t xml:space="preserve">The birth of GEME instantiates a research path that begins from the axioms of</w:t>
      </w:r>
      <w:r>
        <w:t xml:space="preserve"> </w:t>
      </w:r>
      <w:r>
        <w:t xml:space="preserve">“self-reference”</w:t>
      </w:r>
      <w:r>
        <w:t xml:space="preserve"> </w:t>
      </w:r>
      <w:r>
        <w:t xml:space="preserve">and</w:t>
      </w:r>
      <w:r>
        <w:t xml:space="preserve"> </w:t>
      </w:r>
      <w:r>
        <w:t xml:space="preserve">“economy”</w:t>
      </w:r>
      <w:r>
        <w:t xml:space="preserve"> </w:t>
      </w:r>
      <w:r>
        <w:t xml:space="preserve">and explores cognitive structure through generative observation. It is a process prism. We invite the reader to look through it, to re-examine those separate questions about mind, information, and complex systems.</w:t>
      </w:r>
    </w:p>
    <w:p>
      <w:pPr>
        <w:pStyle w:val="BodyText"/>
      </w:pPr>
      <w:r>
        <w:t xml:space="preserve">Its value does not lie in having provided answers. It lies in having presented the forms those answers might take — a series of dynamical patterns of how structure self-organizes under constraints — clearly, reproducibly rendered. To what extent are the structures we perceive in cognition and the world the necessary performance of that economic dance grounded in self-reference, which information must enact to sustain its own existence? GEME offers the first runnable common reference point for that conversation.</w:t>
      </w:r>
    </w:p>
    <w:p>
      <w:r>
        <w:pict>
          <v:rect style="width:0;height:1.5pt" o:hralign="center" o:hrstd="t" o:hr="t"/>
        </w:pict>
      </w:r>
    </w:p>
    <w:bookmarkEnd w:id="28"/>
    <w:bookmarkEnd w:id="29"/>
    <w:bookmarkStart w:id="30" w:name="acknowledgments"/>
    <w:p>
      <w:pPr>
        <w:pStyle w:val="Heading2"/>
      </w:pPr>
      <w:r>
        <w:t xml:space="preserve">Acknowledgments</w:t>
      </w:r>
    </w:p>
    <w:p>
      <w:pPr>
        <w:pStyle w:val="FirstParagraph"/>
      </w:pPr>
      <w:r>
        <w:t xml:space="preserve">We thank Douglas R. Hofstadter, whose seminal work</w:t>
      </w:r>
      <w:r>
        <w:t xml:space="preserve"> </w:t>
      </w:r>
      <w:r>
        <w:rPr>
          <w:i/>
          <w:iCs/>
        </w:rPr>
        <w:t xml:space="preserve">Gödel, Escher, Bach</w:t>
      </w:r>
      <w:r>
        <w:t xml:space="preserve"> </w:t>
      </w:r>
      <w:r>
        <w:t xml:space="preserve">established the coordinate system for understanding self-reference and the emergence of meaning, and provided the most fundamental inspiration for this research. Additionally, we are deeply grateful for his early encouragement of the nascent form of this work. For an independent researcher, resonance from the source of one’s thought is of inestimable value.</w:t>
      </w:r>
    </w:p>
    <w:p>
      <w:pPr>
        <w:pStyle w:val="BodyText"/>
      </w:pPr>
      <w:r>
        <w:t xml:space="preserve">This research was conducted independently. Portions of the experimental code were developed with AI assistance; the author bears full responsibility for all content.</w:t>
      </w:r>
    </w:p>
    <w:p>
      <w:r>
        <w:pict>
          <v:rect style="width:0;height:1.5pt" o:hralign="center" o:hrstd="t" o:hr="t"/>
        </w:pict>
      </w:r>
    </w:p>
    <w:bookmarkEnd w:id="30"/>
    <w:bookmarkStart w:id="31" w:name="references"/>
    <w:p>
      <w:pPr>
        <w:pStyle w:val="Heading2"/>
      </w:pPr>
      <w:r>
        <w:t xml:space="preserve">References</w:t>
      </w:r>
    </w:p>
    <w:p>
      <w:pPr>
        <w:pStyle w:val="FirstParagraph"/>
      </w:pPr>
      <w:r>
        <w:t xml:space="preserve">[Original reference list preserved, with the following additions:]</w:t>
      </w:r>
    </w:p>
    <w:p>
      <w:pPr>
        <w:pStyle w:val="Compact"/>
        <w:numPr>
          <w:ilvl w:val="0"/>
          <w:numId w:val="1001"/>
        </w:numPr>
      </w:pPr>
      <w:r>
        <w:t xml:space="preserve">Chun, M. M., &amp; Potter, M. C. (1995). A two-stage model for multiple target detection in rapid serial visual presentation.</w:t>
      </w:r>
      <w:r>
        <w:t xml:space="preserve"> </w:t>
      </w:r>
      <w:r>
        <w:rPr>
          <w:i/>
          <w:iCs/>
        </w:rPr>
        <w:t xml:space="preserve">Journal of Experimental Psychology: Human Perception and Performance</w:t>
      </w:r>
      <w:r>
        <w:t xml:space="preserve">, 21(1), 109–127.</w:t>
      </w:r>
    </w:p>
    <w:p>
      <w:pPr>
        <w:pStyle w:val="Compact"/>
        <w:numPr>
          <w:ilvl w:val="0"/>
          <w:numId w:val="1001"/>
        </w:numPr>
      </w:pPr>
      <w:r>
        <w:t xml:space="preserve">Mueller, S. T., &amp; Krawitz, A. (2009). Reconsidering the two-second decay hypothesis in verbal working memory.</w:t>
      </w:r>
      <w:r>
        <w:t xml:space="preserve"> </w:t>
      </w:r>
      <w:r>
        <w:rPr>
          <w:i/>
          <w:iCs/>
        </w:rPr>
        <w:t xml:space="preserve">Journal of Mathematical Psychology</w:t>
      </w:r>
      <w:r>
        <w:t xml:space="preserve">, 53(3), 156–167.</w:t>
      </w:r>
    </w:p>
    <w:p>
      <w:pPr>
        <w:pStyle w:val="Compact"/>
        <w:numPr>
          <w:ilvl w:val="0"/>
          <w:numId w:val="1001"/>
        </w:numPr>
      </w:pPr>
      <w:r>
        <w:t xml:space="preserve">Pöppel, E. (2009). Pre-semantically defined temporal windows for cognitive processing.</w:t>
      </w:r>
      <w:r>
        <w:t xml:space="preserve"> </w:t>
      </w:r>
      <w:r>
        <w:rPr>
          <w:i/>
          <w:iCs/>
        </w:rPr>
        <w:t xml:space="preserve">Philosophical Transactions of the Royal Society B</w:t>
      </w:r>
      <w:r>
        <w:t xml:space="preserve">, 364(1525), 1887–1896.</w:t>
      </w:r>
    </w:p>
    <w:p>
      <w:pPr>
        <w:pStyle w:val="Compact"/>
        <w:numPr>
          <w:ilvl w:val="0"/>
          <w:numId w:val="1001"/>
        </w:numPr>
      </w:pPr>
      <w:r>
        <w:t xml:space="preserve">Zhang, W., &amp; Luck, S. J. (2009). Sudden death and gradual decay in visual working memory.</w:t>
      </w:r>
      <w:r>
        <w:t xml:space="preserve"> </w:t>
      </w:r>
      <w:r>
        <w:rPr>
          <w:i/>
          <w:iCs/>
        </w:rPr>
        <w:t xml:space="preserve">Psychological Science</w:t>
      </w:r>
      <w:r>
        <w:t xml:space="preserve">, 20(4), 423–428.</w:t>
      </w:r>
    </w:p>
    <w:p>
      <w:r>
        <w:pict>
          <v:rect style="width:0;height:1.5pt" o:hralign="center" o:hrstd="t" o:hr="t"/>
        </w:pict>
      </w:r>
    </w:p>
    <w:bookmarkEnd w:id="31"/>
    <w:bookmarkStart w:id="32" w:name="supplementary-information"/>
    <w:p>
      <w:pPr>
        <w:pStyle w:val="Heading2"/>
      </w:pPr>
      <w:r>
        <w:t xml:space="preserve">Supplementary Information</w:t>
      </w:r>
    </w:p>
    <w:p>
      <w:pPr>
        <w:pStyle w:val="FirstParagraph"/>
      </w:pPr>
      <w:r>
        <w:t xml:space="preserve">S1. The Discovery Journey: Breaking Through Cognitive Barriers One by One. [File path corrected:</w:t>
      </w:r>
      <w:r>
        <w:t xml:space="preserve"> </w:t>
      </w:r>
      <w:r>
        <w:rPr>
          <w:rStyle w:val="VerbatimChar"/>
        </w:rPr>
        <w:t xml:space="preserve">code/s1_demo.py</w:t>
      </w:r>
      <w:r>
        <w:t xml:space="preserve">. Terminology aligned with §2.5’s</w:t>
      </w:r>
      <w:r>
        <w:t xml:space="preserve"> </w:t>
      </w:r>
      <w:r>
        <w:t xml:space="preserve">“threshold-triggered architecture”</w:t>
      </w:r>
      <w:r>
        <w:t xml:space="preserve"> </w:t>
      </w:r>
      <w:r>
        <w:t xml:space="preserve">framing.]</w:t>
      </w:r>
    </w:p>
    <w:p>
      <w:pPr>
        <w:pStyle w:val="BodyText"/>
      </w:pPr>
      <w:r>
        <w:t xml:space="preserve">S2. Shadow Experiments: Geometric and Tarski-System Validation. [Preserved as original.]</w:t>
      </w:r>
    </w:p>
    <w:p>
      <w:pPr>
        <w:pStyle w:val="BodyText"/>
      </w:pPr>
      <w:r>
        <w:t xml:space="preserve">S3. Cross-Language and Cross-Script Structural Convergence: The Code of Hammurabi. [Preserved as original.]</w:t>
      </w:r>
    </w:p>
    <w:p>
      <w:pPr>
        <w:pStyle w:val="BodyText"/>
      </w:pPr>
      <w:r>
        <w:t xml:space="preserve">S4. Phase Transition Detection Experiments (</w:t>
      </w:r>
      <w:r>
        <w:rPr>
          <w:rStyle w:val="VerbatimChar"/>
        </w:rPr>
        <w:t xml:space="preserve">code/phase_transition.py</w:t>
      </w:r>
      <w:r>
        <w:t xml:space="preserve">). Four rounds of parameter-space probing, documenting dynamical crossover rather than sharp phase transition.</w:t>
      </w:r>
    </w:p>
    <w:p>
      <w:pPr>
        <w:pStyle w:val="BodyText"/>
      </w:pPr>
      <w:r>
        <w:t xml:space="preserve">S5. Complete Ablation Validation of Derived Constants (</w:t>
      </w:r>
      <w:r>
        <w:rPr>
          <w:rStyle w:val="VerbatimChar"/>
        </w:rPr>
        <w:t xml:space="preserve">code/ablation_study.py</w:t>
      </w:r>
      <w:r>
        <w:t xml:space="preserve">). Two-phase stress-test design, multiplier plateaus, and transition boundaries.</w:t>
      </w:r>
    </w:p>
    <w:p>
      <w:pPr>
        <w:pStyle w:val="BodyText"/>
      </w:pPr>
      <w:r>
        <w:t xml:space="preserve">S6. Computational Complexity Analysis of the L4 Prediction Pipeline.</w:t>
      </w:r>
    </w:p>
    <w:p>
      <w:pPr>
        <w:pStyle w:val="BodyText"/>
      </w:pPr>
      <w:r>
        <w:t xml:space="preserve">S7. Effective Memory Window Parameter Sweeps (</w:t>
      </w:r>
      <w:r>
        <w:rPr>
          <w:rStyle w:val="VerbatimChar"/>
        </w:rPr>
        <w:t xml:space="preserve">code/memory_window.py</w:t>
      </w:r>
      <w:r>
        <w:t xml:space="preserve">).</w:t>
      </w:r>
    </w:p>
    <w:p>
      <w:pPr>
        <w:pStyle w:val="BodyText"/>
      </w:pPr>
      <w:r>
        <w:t xml:space="preserve">S8. Structural Signature Experiment: Human vs. Machine Text through Frame-Economic Metrics (</w:t>
      </w:r>
      <w:r>
        <w:rPr>
          <w:rStyle w:val="VerbatimChar"/>
        </w:rPr>
        <w:t xml:space="preserve">llm/full_experiment.py</w:t>
      </w:r>
      <w:r>
        <w:t xml:space="preserve">).</w:t>
      </w:r>
    </w:p>
    <w:p>
      <w:pPr>
        <w:pStyle w:val="BodyText"/>
      </w:pPr>
      <w:r>
        <w:rPr>
          <w:b/>
          <w:bCs/>
        </w:rPr>
        <w:t xml:space="preserve">Motivation.</w:t>
      </w:r>
      <w:r>
        <w:t xml:space="preserve"> </w:t>
      </w:r>
      <w:r>
        <w:t xml:space="preserve">If GEME’s frame economy captures how information is organized under resource constraints, then human-authored text and machine-generated text may exhibit different frame-economic structural signatures — even after surface statistical features (word length, vocabulary diversity) are matched.</w:t>
      </w:r>
    </w:p>
    <w:p>
      <w:pPr>
        <w:pStyle w:val="BodyText"/>
      </w:pPr>
      <w:r>
        <w:rPr>
          <w:b/>
          <w:bCs/>
        </w:rPr>
        <w:t xml:space="preserve">Design.</w:t>
      </w:r>
      <w:r>
        <w:t xml:space="preserve"> </w:t>
      </w:r>
      <w:r>
        <w:t xml:space="preserve">Twenty human-authored question-answer pairs spanning six domains (medicine, law, finance, daily, Reddit/ELI5, COVID) were collected. For each question, two Pythia models (410M, 1.4B) generated matched answers under a style-constraining prompt (</w:t>
      </w:r>
      <w:r>
        <w:t xml:space="preserve">“Answer in simple everyday English. Use short words and short sentences. Write like you are talking to a friend.”</w:t>
      </w:r>
      <w:r>
        <w:t xml:space="preserve">). All texts were processed through the GEME frame economy using 5-word sliding windows (matching the natural working memory span), with 10 epochs per text to allow frame economy convergence. Metrics measured: L4 prediction count, structural entropy, frame count, I(phi;X). Baseline: word length distribution, unique word ratio, trigram type-token ratio.</w:t>
      </w:r>
    </w:p>
    <w:p>
      <w:pPr>
        <w:pStyle w:val="BodyText"/>
      </w:pPr>
      <w:r>
        <w:rPr>
          <w:b/>
          <w:bCs/>
        </w:rPr>
        <w:t xml:space="preserve">Results.</w:t>
      </w:r>
      <w:r>
        <w:t xml:space="preserve"> </w:t>
      </w:r>
      <w:r>
        <w:t xml:space="preserve">The style constraint successfully matched the word-length ratio to 0.97–1.01 between conditions. Under this constraint, prediction counts for both Pythia models were consistent in direction (M &gt; H) across all 40 pairs (pythia-410M: 198 vs 381, 20/20, p ≈ 0; pythia-1.4B: 198 vs 383, 20/20, p ≈ 0). Machine text generated nearly twice the prediction activity within the frame economy. The unique-word ratio direction was H &gt; M (19/20), ruling out the alternative explanation that prediction count merely reflects vocabulary diversity. I(phi;X) did not reach significance by sign test (p &gt; 0.05), but exhibited a directionally consistent trend across models (H &gt; M in 26/40). Domain consistency held across all six domains.</w:t>
      </w:r>
    </w:p>
    <w:p>
      <w:pPr>
        <w:pStyle w:val="BodyText"/>
      </w:pPr>
      <w:r>
        <w:rPr>
          <w:b/>
          <w:bCs/>
        </w:rPr>
        <w:t xml:space="preserve">Interpretation.</w:t>
      </w:r>
      <w:r>
        <w:t xml:space="preserve"> </w:t>
      </w:r>
      <w:r>
        <w:t xml:space="preserve">GEME’s prediction count is not a proxy for lexical statistics but captures a difference in the organizational mode of information that persists after style constraints have leveled surface features. This experiment does not claim GEME as an AI-text detector; rather, it identifies a class of measurable structural properties — frame-economic signatures — that systematically differ between human and machine text, independent of word length and basic vocabulary statistics. Full replication at</w:t>
      </w:r>
      <w:r>
        <w:t xml:space="preserve"> </w:t>
      </w:r>
      <w:r>
        <w:rPr>
          <w:rStyle w:val="VerbatimChar"/>
        </w:rPr>
        <w:t xml:space="preserve">llm/full_experiment.py</w:t>
      </w:r>
      <w:r>
        <w:t xml:space="preserve">, results at</w:t>
      </w:r>
      <w:r>
        <w:t xml:space="preserve"> </w:t>
      </w:r>
      <w:r>
        <w:rPr>
          <w:rStyle w:val="VerbatimChar"/>
        </w:rPr>
        <w:t xml:space="preserve">llm/signature_results.json</w:t>
      </w:r>
      <w:r>
        <w:t xml:space="preserve">.</w:t>
      </w:r>
    </w:p>
    <w:bookmarkEnd w:id="32"/>
    <w:bookmarkEnd w:id="33"/>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jc w:val="both"/>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360" w:lineRule="auto"/>
      <w:jc w:val="left"/>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120" w:before="240" w:line="360" w:lineRule="auto"/>
      <w:jc w:val="left"/>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120" w:before="240" w:line="360" w:lineRule="auto"/>
      <w:jc w:val="left"/>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GEME</dc:title>
  <dc:creator/>
  <cp:keywords/>
  <dcterms:created xsi:type="dcterms:W3CDTF">2026-05-10T11:35:31Z</dcterms:created>
  <dcterms:modified xsi:type="dcterms:W3CDTF">2026-05-10T11:35:31Z</dcterms:modified>
</cp:coreProperties>
</file>

<file path=docProps/custom.xml><?xml version="1.0" encoding="utf-8"?>
<Properties xmlns="http://schemas.openxmlformats.org/officeDocument/2006/custom-properties" xmlns:vt="http://schemas.openxmlformats.org/officeDocument/2006/docPropsVTypes"/>
</file>