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EC2" w:rsidRPr="007F5EC2" w:rsidRDefault="007F5EC2" w:rsidP="007F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F5EC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Clinical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and survey </w:t>
      </w:r>
      <w:r w:rsidRPr="007F5EC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background </w:t>
      </w:r>
    </w:p>
    <w:p w:rsidR="007F5EC2" w:rsidRPr="007F5EC2" w:rsidRDefault="007F5EC2" w:rsidP="007F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 xml:space="preserve">A global survey among medical practitioners investigated the use of </w:t>
      </w: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vascular access techniques</w:t>
      </w:r>
      <w:r w:rsidRPr="007F5E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fluid/volume assessment</w:t>
      </w:r>
      <w:r w:rsidRPr="007F5EC2">
        <w:rPr>
          <w:rFonts w:ascii="Times New Roman" w:eastAsia="Times New Roman" w:hAnsi="Times New Roman" w:cs="Times New Roman"/>
          <w:sz w:val="24"/>
          <w:szCs w:val="24"/>
        </w:rPr>
        <w:t xml:space="preserve"> through advanced Point-of-Care Ultrasound (POCUS) applications related to vascular access and fluid status assessment:</w:t>
      </w:r>
    </w:p>
    <w:p w:rsidR="007F5EC2" w:rsidRPr="007F5EC2" w:rsidRDefault="007F5EC2" w:rsidP="007F5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EC2">
        <w:rPr>
          <w:rFonts w:ascii="Times New Roman" w:eastAsia="Times New Roman" w:hAnsi="Times New Roman" w:cs="Times New Roman"/>
          <w:b/>
          <w:bCs/>
          <w:sz w:val="27"/>
          <w:szCs w:val="27"/>
        </w:rPr>
        <w:t>Vascular Access:</w:t>
      </w:r>
    </w:p>
    <w:p w:rsidR="007F5EC2" w:rsidRPr="007F5EC2" w:rsidRDefault="007F5EC2" w:rsidP="007F5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Jugular (IJ):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Widely used for central venous access, leveraging ultrasound to improve success rates and reduce complications.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Variables measured include IJ size and usability percentage for cannulation.</w:t>
      </w:r>
    </w:p>
    <w:p w:rsidR="007F5EC2" w:rsidRPr="007F5EC2" w:rsidRDefault="007F5EC2" w:rsidP="007F5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Subclavian/Axillary Veins: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Preferred as alternative access points when IJ access is challenging.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Usage focuses on measurements and usability percentages for these sites.</w:t>
      </w:r>
    </w:p>
    <w:p w:rsidR="007F5EC2" w:rsidRPr="007F5EC2" w:rsidRDefault="007F5EC2" w:rsidP="007F5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Peripherally Inserted Central Catheter (PICC):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Ultrasound guidance ensures precise placement with high success rates.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Reduces dependency on fluoroscopy, lowering radiation exposure.</w:t>
      </w:r>
    </w:p>
    <w:p w:rsidR="007F5EC2" w:rsidRPr="007F5EC2" w:rsidRDefault="007F5EC2" w:rsidP="007F5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5EC2" w:rsidRPr="007F5EC2" w:rsidRDefault="007F5EC2" w:rsidP="007F5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EC2">
        <w:rPr>
          <w:rFonts w:ascii="Times New Roman" w:eastAsia="Times New Roman" w:hAnsi="Times New Roman" w:cs="Times New Roman"/>
          <w:b/>
          <w:bCs/>
          <w:sz w:val="27"/>
          <w:szCs w:val="27"/>
        </w:rPr>
        <w:t>Fluid and Volume Assessment:</w:t>
      </w:r>
    </w:p>
    <w:p w:rsidR="007F5EC2" w:rsidRPr="007F5EC2" w:rsidRDefault="007F5EC2" w:rsidP="007F5EC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b/>
          <w:bCs/>
          <w:sz w:val="24"/>
          <w:szCs w:val="24"/>
        </w:rPr>
        <w:t>Volume Responsiveness: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Assesses hemodynamic response to fluid therapy to guide optimal management.</w:t>
      </w:r>
    </w:p>
    <w:p w:rsidR="007F5EC2" w:rsidRPr="007F5EC2" w:rsidRDefault="007F5EC2" w:rsidP="007F5E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>Variables include direct dynamic measurements and responsiveness percentages, crucial for managing critically ill patients.</w:t>
      </w:r>
    </w:p>
    <w:p w:rsidR="007F5EC2" w:rsidRPr="007F5EC2" w:rsidRDefault="007F5EC2" w:rsidP="007F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EC2">
        <w:rPr>
          <w:rFonts w:ascii="Times New Roman" w:eastAsia="Times New Roman" w:hAnsi="Times New Roman" w:cs="Times New Roman"/>
          <w:sz w:val="24"/>
          <w:szCs w:val="24"/>
        </w:rPr>
        <w:t xml:space="preserve">This survey </w:t>
      </w:r>
      <w:r w:rsidR="007F27F5">
        <w:rPr>
          <w:rFonts w:ascii="Times New Roman" w:eastAsia="Times New Roman" w:hAnsi="Times New Roman" w:cs="Times New Roman"/>
          <w:sz w:val="24"/>
          <w:szCs w:val="24"/>
        </w:rPr>
        <w:t>seek to find predicators</w:t>
      </w:r>
      <w:bookmarkStart w:id="0" w:name="_GoBack"/>
      <w:bookmarkEnd w:id="0"/>
      <w:r w:rsidR="007F27F5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Pr="007F5EC2">
        <w:rPr>
          <w:rFonts w:ascii="Times New Roman" w:eastAsia="Times New Roman" w:hAnsi="Times New Roman" w:cs="Times New Roman"/>
          <w:sz w:val="24"/>
          <w:szCs w:val="24"/>
        </w:rPr>
        <w:t xml:space="preserve"> the growing reliance on POCUS for enhancing procedural precision, safety, and patient outcomes globally.</w:t>
      </w:r>
    </w:p>
    <w:p w:rsidR="007F5EC2" w:rsidRDefault="007F5EC2" w:rsidP="007F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F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8094E"/>
    <w:multiLevelType w:val="multilevel"/>
    <w:tmpl w:val="44C2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90B8E"/>
    <w:multiLevelType w:val="multilevel"/>
    <w:tmpl w:val="CFC4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A3440"/>
    <w:multiLevelType w:val="multilevel"/>
    <w:tmpl w:val="4D2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13C9A"/>
    <w:multiLevelType w:val="multilevel"/>
    <w:tmpl w:val="386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C2"/>
    <w:rsid w:val="00523864"/>
    <w:rsid w:val="00560F5B"/>
    <w:rsid w:val="007F27F5"/>
    <w:rsid w:val="007F5EC2"/>
    <w:rsid w:val="00E1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E03B"/>
  <w15:chartTrackingRefBased/>
  <w15:docId w15:val="{26FAF31F-D0C9-424D-B81F-8F51270E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E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5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EC2"/>
    <w:rPr>
      <w:b/>
      <w:bCs/>
    </w:rPr>
  </w:style>
  <w:style w:type="paragraph" w:styleId="ListParagraph">
    <w:name w:val="List Paragraph"/>
    <w:basedOn w:val="Normal"/>
    <w:uiPriority w:val="34"/>
    <w:qFormat/>
    <w:rsid w:val="007F5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4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0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Odhiambo, Collins</dc:creator>
  <cp:keywords/>
  <dc:description/>
  <cp:lastModifiedBy>Odhiambo, Collins</cp:lastModifiedBy>
  <cp:revision>1</cp:revision>
  <dcterms:created xsi:type="dcterms:W3CDTF">2024-12-05T15:38:00Z</dcterms:created>
  <dcterms:modified xsi:type="dcterms:W3CDTF">2024-12-05T15:49:00Z</dcterms:modified>
</cp:coreProperties>
</file>