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03033" w:rsidR="00C8049E" w:rsidP="00A03033" w:rsidRDefault="00C8049E" w14:paraId="0486FF12" w14:textId="151509CC">
      <w:pPr>
        <w:jc w:val="center"/>
        <w:rPr>
          <w:rFonts w:ascii="Verdana" w:hAnsi="Verdana"/>
          <w:sz w:val="36"/>
          <w:szCs w:val="36"/>
        </w:rPr>
      </w:pPr>
      <w:r>
        <w:rPr>
          <w:rFonts w:ascii="Verdana" w:hAnsi="Verdana"/>
          <w:sz w:val="36"/>
          <w:szCs w:val="36"/>
        </w:rPr>
        <w:br/>
      </w:r>
      <w:r w:rsidRPr="009A07D0" w:rsidR="009A07D0">
        <w:rPr>
          <w:rFonts w:ascii="Verdana" w:hAnsi="Verdana"/>
          <w:sz w:val="36"/>
          <w:szCs w:val="36"/>
        </w:rPr>
        <w:t>FHIR Data Obfuscation for Population-Level Analytics</w:t>
      </w:r>
    </w:p>
    <w:p w:rsidR="006F52EC" w:rsidP="006F52EC" w:rsidRDefault="006F52EC" w14:paraId="0CAFC152" w14:textId="77777777">
      <w:pPr>
        <w:jc w:val="center"/>
        <w:rPr>
          <w:rFonts w:ascii="Verdana" w:hAnsi="Verdana" w:cs="Arial"/>
          <w:noProof/>
        </w:rPr>
      </w:pPr>
    </w:p>
    <w:p w:rsidRPr="006270B5" w:rsidR="006F52EC" w:rsidP="006F52EC" w:rsidRDefault="006F52EC" w14:paraId="1EFEC199" w14:textId="77777777">
      <w:pPr>
        <w:jc w:val="center"/>
        <w:rPr>
          <w:rFonts w:ascii="Verdana" w:hAnsi="Verdana" w:cs="Arial"/>
          <w:noProof/>
        </w:rPr>
      </w:pPr>
    </w:p>
    <w:p w:rsidRPr="006F52EC" w:rsidR="006F52EC" w:rsidP="363E286E" w:rsidRDefault="006F52EC" w14:paraId="75BCA2D3" w14:textId="111F8D98">
      <w:pPr>
        <w:jc w:val="center"/>
        <w:rPr>
          <w:rFonts w:ascii="Verdana" w:hAnsi="Verdana" w:cs="Arial"/>
          <w:noProof/>
        </w:rPr>
      </w:pPr>
      <w:r w:rsidRPr="363E286E" w:rsidR="006F52EC">
        <w:rPr>
          <w:rFonts w:ascii="Verdana" w:hAnsi="Verdana" w:cs="Arial"/>
          <w:noProof/>
        </w:rPr>
        <w:t>DS522: Data Acquisition and Analytics - USADL - Spring 2025-2026</w:t>
      </w:r>
      <w:r w:rsidRPr="363E286E" w:rsidR="2A0375B8">
        <w:rPr>
          <w:rFonts w:ascii="Verdana" w:hAnsi="Verdana" w:cs="Arial"/>
          <w:noProof/>
        </w:rPr>
        <w:t>, PyForce</w:t>
      </w:r>
    </w:p>
    <w:p w:rsidRPr="006F52EC" w:rsidR="006F52EC" w:rsidP="00E67842" w:rsidRDefault="006F52EC" w14:paraId="4D98171E" w14:textId="717D8B03">
      <w:pPr>
        <w:jc w:val="center"/>
        <w:rPr>
          <w:rFonts w:ascii="Verdana" w:hAnsi="Verdana" w:cs="Arial"/>
          <w:noProof/>
        </w:rPr>
      </w:pPr>
      <w:r>
        <w:br/>
      </w:r>
      <w:r w:rsidRPr="363E286E" w:rsidR="006F52EC">
        <w:rPr>
          <w:rFonts w:ascii="Verdana" w:hAnsi="Verdana" w:cs="Arial"/>
          <w:noProof/>
        </w:rPr>
        <w:t>School of Technology and Computing</w:t>
      </w:r>
    </w:p>
    <w:p w:rsidRPr="006F52EC" w:rsidR="006F52EC" w:rsidP="006F52EC" w:rsidRDefault="006F52EC" w14:paraId="5EBBB9CE" w14:textId="77777777">
      <w:pPr>
        <w:jc w:val="center"/>
        <w:rPr>
          <w:rFonts w:ascii="Verdana" w:hAnsi="Verdana" w:cs="Arial"/>
          <w:noProof/>
        </w:rPr>
      </w:pPr>
      <w:r w:rsidRPr="006F52EC">
        <w:rPr>
          <w:rFonts w:ascii="Verdana" w:hAnsi="Verdana" w:cs="Arial"/>
          <w:noProof/>
        </w:rPr>
        <w:t>City University of Seattle</w:t>
      </w:r>
    </w:p>
    <w:p w:rsidR="00E67842" w:rsidP="363E286E" w:rsidRDefault="00E67842" w14:paraId="2F0B8A4B" w14:textId="76AD6837">
      <w:pPr>
        <w:jc w:val="center"/>
        <w:rPr>
          <w:rFonts w:ascii="Verdana" w:hAnsi="Verdana" w:cs="Arial"/>
          <w:noProof/>
        </w:rPr>
      </w:pPr>
      <w:r w:rsidRPr="363E286E" w:rsidR="006F52EC">
        <w:rPr>
          <w:rFonts w:ascii="Verdana" w:hAnsi="Verdana" w:cs="Arial"/>
          <w:noProof/>
        </w:rPr>
        <w:t>Seattle, WA 98121</w:t>
      </w:r>
    </w:p>
    <w:p w:rsidRPr="00872EAB" w:rsidR="00C8049E" w:rsidP="00C8049E" w:rsidRDefault="00C8049E" w14:paraId="333E424A" w14:textId="77777777">
      <w:pPr>
        <w:jc w:val="center"/>
        <w:rPr>
          <w:rFonts w:ascii="Verdana" w:hAnsi="Verdana" w:cs="Arial"/>
        </w:rPr>
      </w:pPr>
    </w:p>
    <w:p w:rsidRPr="006270B5" w:rsidR="006270B5" w:rsidP="006270B5" w:rsidRDefault="006270B5" w14:paraId="3060A5DC" w14:textId="10557F12">
      <w:pPr>
        <w:jc w:val="center"/>
        <w:rPr>
          <w:rFonts w:ascii="Verdana" w:hAnsi="Verdana" w:cs="Arial"/>
          <w:noProof/>
        </w:rPr>
      </w:pPr>
      <w:r w:rsidRPr="006270B5">
        <w:rPr>
          <w:rFonts w:ascii="Verdana" w:hAnsi="Verdana" w:cs="Arial"/>
          <w:noProof/>
        </w:rPr>
        <w:t>Makenzy Abass Gumah</w:t>
      </w:r>
      <w:r>
        <w:rPr>
          <w:rFonts w:ascii="Verdana" w:hAnsi="Verdana" w:cs="Arial"/>
          <w:noProof/>
        </w:rPr>
        <w:t xml:space="preserve">, </w:t>
      </w:r>
    </w:p>
    <w:p w:rsidRPr="006270B5" w:rsidR="006270B5" w:rsidP="006270B5" w:rsidRDefault="006270B5" w14:paraId="556266B5" w14:textId="1B8C1195">
      <w:pPr>
        <w:jc w:val="center"/>
        <w:rPr>
          <w:rFonts w:ascii="Verdana" w:hAnsi="Verdana" w:cs="Arial"/>
          <w:noProof/>
        </w:rPr>
      </w:pPr>
      <w:r w:rsidRPr="363E286E" w:rsidR="006270B5">
        <w:rPr>
          <w:rFonts w:ascii="Verdana" w:hAnsi="Verdana" w:cs="Arial"/>
          <w:noProof/>
        </w:rPr>
        <w:t>gumahmakenzyabass@cityuniversity.edu</w:t>
      </w:r>
    </w:p>
    <w:p w:rsidRPr="006F52EC" w:rsidR="006270B5" w:rsidP="006270B5" w:rsidRDefault="006270B5" w14:paraId="2308B988" w14:textId="3B0B1442">
      <w:pPr>
        <w:jc w:val="center"/>
      </w:pPr>
      <w:r w:rsidRPr="006270B5">
        <w:rPr>
          <w:rFonts w:ascii="Verdana" w:hAnsi="Verdana" w:cs="Arial"/>
          <w:noProof/>
        </w:rPr>
        <w:t>Jacqueline Biira</w:t>
      </w:r>
    </w:p>
    <w:p w:rsidR="006F52EC" w:rsidP="006270B5" w:rsidRDefault="006F52EC" w14:paraId="3016F455" w14:textId="6004061C">
      <w:pPr>
        <w:jc w:val="center"/>
        <w:rPr>
          <w:rFonts w:ascii="Verdana" w:hAnsi="Verdana" w:cs="Arial"/>
          <w:noProof/>
        </w:rPr>
      </w:pPr>
      <w:r w:rsidRPr="363E286E" w:rsidR="006270B5">
        <w:rPr>
          <w:rFonts w:ascii="Verdana" w:hAnsi="Verdana" w:cs="Arial"/>
          <w:noProof/>
        </w:rPr>
        <w:t>biirajacqueline@cityuniversity.edu</w:t>
      </w:r>
    </w:p>
    <w:p w:rsidR="006F52EC" w:rsidP="006270B5" w:rsidRDefault="006F52EC" w14:paraId="1E0A143B" w14:textId="2EBC7DB1">
      <w:pPr>
        <w:jc w:val="center"/>
        <w:rPr>
          <w:rFonts w:ascii="Verdana" w:hAnsi="Verdana" w:cs="Arial"/>
          <w:noProof/>
        </w:rPr>
      </w:pPr>
      <w:r>
        <w:rPr>
          <w:rFonts w:ascii="Verdana" w:hAnsi="Verdana" w:cs="Arial"/>
          <w:noProof/>
        </w:rPr>
        <w:t>Dawit Hailu, MSAI</w:t>
      </w:r>
    </w:p>
    <w:p w:rsidR="00C8049E" w:rsidP="363E286E" w:rsidRDefault="00C8049E" w14:paraId="726014A4" w14:textId="12408742">
      <w:pPr>
        <w:jc w:val="center"/>
        <w:rPr>
          <w:rFonts w:ascii="Verdana" w:hAnsi="Verdana" w:cs="Arial"/>
          <w:noProof/>
        </w:rPr>
      </w:pPr>
      <w:r w:rsidRPr="363E286E" w:rsidR="006F52EC">
        <w:rPr>
          <w:rFonts w:ascii="Verdana" w:hAnsi="Verdana" w:cs="Arial"/>
          <w:noProof/>
        </w:rPr>
        <w:t>hailudawith@cityuniversity.edu</w:t>
      </w:r>
    </w:p>
    <w:p w:rsidRPr="00872EAB" w:rsidR="00C8049E" w:rsidP="00C8049E" w:rsidRDefault="00C8049E" w14:paraId="6B04C3FF" w14:textId="77777777">
      <w:pPr>
        <w:jc w:val="center"/>
        <w:rPr>
          <w:rFonts w:ascii="Verdana" w:hAnsi="Verdana" w:cs="Arial"/>
        </w:rPr>
      </w:pPr>
    </w:p>
    <w:p w:rsidR="363E286E" w:rsidP="363E286E" w:rsidRDefault="363E286E" w14:paraId="2F325BEA" w14:textId="2F9AB295">
      <w:pPr>
        <w:jc w:val="center"/>
        <w:rPr>
          <w:rFonts w:ascii="Verdana" w:hAnsi="Verdana" w:cs="Arial"/>
        </w:rPr>
      </w:pPr>
    </w:p>
    <w:p w:rsidRPr="00872EAB" w:rsidR="00C8049E" w:rsidP="00C8049E" w:rsidRDefault="00C8049E" w14:paraId="30E0078C" w14:textId="77777777">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rsidRPr="00872EAB" w:rsidR="00C8049E" w:rsidP="00C8049E" w:rsidRDefault="00C8049E" w14:paraId="1D8E4DB8" w14:textId="77777777">
      <w:pPr>
        <w:jc w:val="both"/>
        <w:rPr>
          <w:rFonts w:ascii="Verdana" w:hAnsi="Verdana" w:cs="Arial"/>
          <w:sz w:val="18"/>
          <w:szCs w:val="18"/>
        </w:rPr>
      </w:pPr>
    </w:p>
    <w:p w:rsidR="00C8049E" w:rsidP="00C8049E" w:rsidRDefault="006F52EC" w14:paraId="2ACE91A9" w14:textId="05BE8661">
      <w:pPr>
        <w:jc w:val="both"/>
        <w:rPr>
          <w:rFonts w:ascii="Verdana" w:hAnsi="Verdana"/>
          <w:sz w:val="18"/>
          <w:szCs w:val="18"/>
        </w:rPr>
      </w:pPr>
      <w:r w:rsidRPr="006F52EC">
        <w:rPr>
          <w:rFonts w:ascii="Verdana" w:hAnsi="Verdana"/>
          <w:sz w:val="18"/>
          <w:szCs w:val="18"/>
        </w:rPr>
        <w:t>The growing use of Fast Healthcare Interoperability Resource (FHIR) has </w:t>
      </w:r>
      <w:r w:rsidRPr="006F52EC">
        <w:rPr>
          <w:rFonts w:ascii="Verdana" w:hAnsi="Verdana"/>
          <w:sz w:val="18"/>
          <w:szCs w:val="18"/>
        </w:rPr>
        <w:t>opened</w:t>
      </w:r>
      <w:r w:rsidRPr="006F52EC">
        <w:rPr>
          <w:rFonts w:ascii="Verdana" w:hAnsi="Verdana"/>
          <w:sz w:val="18"/>
          <w:szCs w:val="18"/>
        </w:rPr>
        <w:t> more opportunities for data-driven innovation in healthcare. However, the presence of personally identifiable information presents significant challenges for secure secondary use. This paper explores FHIR data obfuscation methods that facilitate privacy-protecting analytics, focusing on Project Cumulus, a service by SMART Health IT. Project Cumulus acts as an intermediary between client applications and a FHIR server, systematically removing PII from clinical records while maintaining the semantic details needed for population-level analysis. The paper discusses key design principles such as de-identification workflows, metadata retention, and interoperability safeguards, and assesses how these systems support regulatory compliance, scalable analytics, and trustworthy data exchange. By showing how obfuscation pipelines can balance privacy with utility, this work underscores the importance of privacy-enhancing technologies for secure, standards-based health data ecosystems.</w:t>
      </w:r>
    </w:p>
    <w:p w:rsidRPr="00872EAB" w:rsidR="006F52EC" w:rsidP="00C8049E" w:rsidRDefault="006F52EC" w14:paraId="15A0D2EC" w14:textId="77777777">
      <w:pPr>
        <w:jc w:val="both"/>
        <w:rPr>
          <w:rFonts w:ascii="Verdana" w:hAnsi="Verdana" w:cs="Arial"/>
          <w:sz w:val="18"/>
          <w:szCs w:val="18"/>
        </w:rPr>
      </w:pPr>
    </w:p>
    <w:p w:rsidRPr="003114DF" w:rsidR="00C8049E" w:rsidP="003114DF" w:rsidRDefault="00C8049E" w14:paraId="3852FBEF" w14:textId="194EE496">
      <w:pPr>
        <w:jc w:val="both"/>
        <w:rPr>
          <w:rFonts w:ascii="Verdana" w:hAnsi="Verdana" w:cs="Arial"/>
          <w:sz w:val="18"/>
          <w:szCs w:val="18"/>
        </w:rPr>
        <w:sectPr w:rsidRPr="003114DF" w:rsidR="00C8049E" w:rsidSect="00B45C66">
          <w:footerReference w:type="default" r:id="rId10"/>
          <w:pgSz w:w="12240" w:h="15840" w:orient="portrait" w:code="1"/>
          <w:pgMar w:top="1440" w:right="1440" w:bottom="1440" w:left="1440" w:header="576" w:footer="576" w:gutter="0"/>
          <w:cols w:space="720"/>
          <w:docGrid w:linePitch="360"/>
          <w:headerReference w:type="default" r:id="R9252cef125df4de1"/>
        </w:sectPr>
      </w:pPr>
      <w:r w:rsidRPr="00872EAB">
        <w:rPr>
          <w:rFonts w:ascii="Verdana" w:hAnsi="Verdana" w:cs="Arial"/>
          <w:b/>
          <w:bCs/>
          <w:sz w:val="18"/>
          <w:szCs w:val="18"/>
        </w:rPr>
        <w:t>Keywords:</w:t>
      </w:r>
      <w:r w:rsidRPr="00872EAB">
        <w:rPr>
          <w:rFonts w:ascii="Verdana" w:hAnsi="Verdana" w:cs="Arial"/>
          <w:sz w:val="18"/>
          <w:szCs w:val="18"/>
        </w:rPr>
        <w:t xml:space="preserve"> </w:t>
      </w:r>
      <w:r w:rsidRPr="006F52EC" w:rsidR="006F52EC">
        <w:rPr>
          <w:rFonts w:ascii="Verdana" w:hAnsi="Verdana"/>
          <w:sz w:val="18"/>
          <w:szCs w:val="18"/>
        </w:rPr>
        <w:t>FHIR, health data obfuscation, de-identification, SMART Health IT, privacy-preserving analytics, interoperability </w:t>
      </w:r>
    </w:p>
    <w:p w:rsidR="003F21D1" w:rsidP="003114DF" w:rsidRDefault="003F21D1" w14:paraId="606F6E9F" w14:textId="77777777">
      <w:pPr>
        <w:rPr>
          <w:rFonts w:ascii="Verdana" w:hAnsi="Verdana"/>
          <w:sz w:val="18"/>
          <w:szCs w:val="18"/>
        </w:rPr>
      </w:pPr>
    </w:p>
    <w:p w:rsidRPr="00872EAB" w:rsidR="003F21D1" w:rsidP="003F21D1" w:rsidRDefault="003F21D1" w14:paraId="2DF3A88C" w14:textId="3C140B53">
      <w:pPr>
        <w:jc w:val="center"/>
        <w:rPr>
          <w:rFonts w:ascii="Verdana" w:hAnsi="Verdana"/>
          <w:sz w:val="18"/>
          <w:szCs w:val="18"/>
        </w:rPr>
      </w:pPr>
      <w:r>
        <w:rPr>
          <w:rFonts w:ascii="Verdana" w:hAnsi="Verdana"/>
          <w:b/>
          <w:bCs/>
          <w:sz w:val="18"/>
          <w:szCs w:val="18"/>
        </w:rPr>
        <w:t>REFERENCES</w:t>
      </w:r>
    </w:p>
    <w:p w:rsidR="003F21D1" w:rsidP="003F21D1" w:rsidRDefault="003F21D1" w14:paraId="7795D414" w14:textId="77777777">
      <w:pPr>
        <w:jc w:val="both"/>
        <w:rPr>
          <w:rFonts w:ascii="Verdana" w:hAnsi="Verdana"/>
          <w:sz w:val="18"/>
          <w:szCs w:val="18"/>
        </w:rPr>
      </w:pPr>
    </w:p>
    <w:p w:rsidR="006F52EC" w:rsidP="003F21D1" w:rsidRDefault="006F52EC" w14:paraId="609E2F3F" w14:textId="3EB8B0AF">
      <w:pPr>
        <w:spacing w:before="120"/>
        <w:ind w:left="360" w:hanging="360"/>
        <w:jc w:val="both"/>
        <w:rPr>
          <w:rFonts w:ascii="Verdana" w:hAnsi="Verdana"/>
          <w:color w:val="FF0000"/>
          <w:sz w:val="18"/>
          <w:szCs w:val="18"/>
        </w:rPr>
      </w:pPr>
      <w:r w:rsidRPr="006F52EC">
        <w:rPr>
          <w:rFonts w:ascii="Verdana" w:hAnsi="Verdana"/>
          <w:color w:val="FF0000"/>
          <w:sz w:val="18"/>
          <w:szCs w:val="18"/>
        </w:rPr>
        <w:t xml:space="preserve">Bender, D., &amp; </w:t>
      </w:r>
      <w:proofErr w:type="spellStart"/>
      <w:r w:rsidRPr="006F52EC">
        <w:rPr>
          <w:rFonts w:ascii="Verdana" w:hAnsi="Verdana"/>
          <w:color w:val="FF0000"/>
          <w:sz w:val="18"/>
          <w:szCs w:val="18"/>
        </w:rPr>
        <w:t>Sartipi</w:t>
      </w:r>
      <w:proofErr w:type="spellEnd"/>
      <w:r w:rsidRPr="006F52EC">
        <w:rPr>
          <w:rFonts w:ascii="Verdana" w:hAnsi="Verdana"/>
          <w:color w:val="FF0000"/>
          <w:sz w:val="18"/>
          <w:szCs w:val="18"/>
        </w:rPr>
        <w:t>, K. (2013). HL7 FHIR: An agile and RESTful approach to healthcare information exchange. Proceedings of the 26th IEEE International Symposium on Computer-Based Medical Systems, 326-331</w:t>
      </w:r>
    </w:p>
    <w:p w:rsidR="006F52EC" w:rsidP="003F21D1" w:rsidRDefault="006F52EC" w14:paraId="086CB24B" w14:textId="5AB55E70">
      <w:pPr>
        <w:spacing w:before="120"/>
        <w:ind w:left="360" w:hanging="360"/>
        <w:jc w:val="both"/>
        <w:rPr>
          <w:rFonts w:ascii="Verdana" w:hAnsi="Verdana"/>
          <w:color w:val="FF0000"/>
          <w:sz w:val="18"/>
          <w:szCs w:val="18"/>
        </w:rPr>
      </w:pPr>
      <w:r w:rsidRPr="006F52EC">
        <w:rPr>
          <w:rFonts w:ascii="Verdana" w:hAnsi="Verdana"/>
          <w:color w:val="FF0000"/>
          <w:sz w:val="18"/>
          <w:szCs w:val="18"/>
        </w:rPr>
        <w:t>Mandl, K.D., Gottlieb, D., Ellis, A., &amp; </w:t>
      </w:r>
      <w:proofErr w:type="spellStart"/>
      <w:r w:rsidRPr="006F52EC">
        <w:rPr>
          <w:rFonts w:ascii="Verdana" w:hAnsi="Verdana"/>
          <w:color w:val="FF0000"/>
          <w:sz w:val="18"/>
          <w:szCs w:val="18"/>
        </w:rPr>
        <w:t>Kohane</w:t>
      </w:r>
      <w:proofErr w:type="spellEnd"/>
      <w:r w:rsidRPr="006F52EC">
        <w:rPr>
          <w:rFonts w:ascii="Verdana" w:hAnsi="Verdana"/>
          <w:color w:val="FF0000"/>
          <w:sz w:val="18"/>
          <w:szCs w:val="18"/>
        </w:rPr>
        <w:t>, I. S. (2020) The SMART Platform</w:t>
      </w:r>
      <w:proofErr w:type="gramStart"/>
      <w:r w:rsidRPr="006F52EC">
        <w:rPr>
          <w:rFonts w:ascii="Verdana" w:hAnsi="Verdana"/>
          <w:color w:val="FF0000"/>
          <w:sz w:val="18"/>
          <w:szCs w:val="18"/>
        </w:rPr>
        <w:t>:  Early</w:t>
      </w:r>
      <w:proofErr w:type="gramEnd"/>
      <w:r w:rsidRPr="006F52EC">
        <w:rPr>
          <w:rFonts w:ascii="Verdana" w:hAnsi="Verdana"/>
          <w:color w:val="FF0000"/>
          <w:sz w:val="18"/>
          <w:szCs w:val="18"/>
        </w:rPr>
        <w:t xml:space="preserve"> experience enabling </w:t>
      </w:r>
      <w:r w:rsidRPr="006F52EC">
        <w:rPr>
          <w:rFonts w:ascii="Verdana" w:hAnsi="Verdana"/>
          <w:color w:val="FF0000"/>
          <w:sz w:val="18"/>
          <w:szCs w:val="18"/>
        </w:rPr>
        <w:t>substitutable applications for electronic health records. Journal of the American Medical Informatics Association, 27(2), 224-232. </w:t>
      </w:r>
    </w:p>
    <w:p w:rsidRPr="00490515" w:rsidR="003F21D1" w:rsidP="003F21D1" w:rsidRDefault="003F21D1" w14:paraId="395F2C71" w14:textId="5AC57F7D">
      <w:pPr>
        <w:spacing w:before="120"/>
        <w:ind w:left="360" w:hanging="360"/>
        <w:jc w:val="both"/>
        <w:rPr>
          <w:rFonts w:ascii="Verdana" w:hAnsi="Verdana"/>
          <w:color w:val="FF0000"/>
          <w:sz w:val="18"/>
          <w:szCs w:val="18"/>
        </w:rPr>
      </w:pPr>
      <w:r w:rsidRPr="363E286E" w:rsidR="006F52EC">
        <w:rPr>
          <w:rFonts w:ascii="Verdana" w:hAnsi="Verdana"/>
          <w:color w:val="FF0000"/>
          <w:sz w:val="18"/>
          <w:szCs w:val="18"/>
        </w:rPr>
        <w:t>McMurry, J.A., Murphy, S.N., MacFadden, D., Weber, G., Simons, W. W., </w:t>
      </w:r>
      <w:r w:rsidRPr="363E286E" w:rsidR="006F52EC">
        <w:rPr>
          <w:rFonts w:ascii="Verdana" w:hAnsi="Verdana"/>
          <w:color w:val="FF0000"/>
          <w:sz w:val="18"/>
          <w:szCs w:val="18"/>
        </w:rPr>
        <w:t>Orechia</w:t>
      </w:r>
      <w:r w:rsidRPr="363E286E" w:rsidR="006F52EC">
        <w:rPr>
          <w:rFonts w:ascii="Verdana" w:hAnsi="Verdana"/>
          <w:color w:val="FF0000"/>
          <w:sz w:val="18"/>
          <w:szCs w:val="18"/>
        </w:rPr>
        <w:t>, J., &amp; </w:t>
      </w:r>
      <w:r w:rsidRPr="363E286E" w:rsidR="006F52EC">
        <w:rPr>
          <w:rFonts w:ascii="Verdana" w:hAnsi="Verdana"/>
          <w:color w:val="FF0000"/>
          <w:sz w:val="18"/>
          <w:szCs w:val="18"/>
        </w:rPr>
        <w:t>Kohane</w:t>
      </w:r>
      <w:r w:rsidRPr="363E286E" w:rsidR="006F52EC">
        <w:rPr>
          <w:rFonts w:ascii="Verdana" w:hAnsi="Verdana"/>
          <w:color w:val="FF0000"/>
          <w:sz w:val="18"/>
          <w:szCs w:val="18"/>
        </w:rPr>
        <w:t>, I. S. (2013). </w:t>
      </w:r>
      <w:r w:rsidRPr="363E286E" w:rsidR="006F52EC">
        <w:rPr>
          <w:rFonts w:ascii="Verdana" w:hAnsi="Verdana"/>
          <w:color w:val="FF0000"/>
          <w:sz w:val="18"/>
          <w:szCs w:val="18"/>
        </w:rPr>
        <w:t>Cumulus: A cloud-based system for de-identified aggregate analytics on health data.</w:t>
      </w:r>
      <w:r w:rsidRPr="363E286E" w:rsidR="006F52EC">
        <w:rPr>
          <w:rFonts w:ascii="Verdana" w:hAnsi="Verdana"/>
          <w:color w:val="FF0000"/>
          <w:sz w:val="18"/>
          <w:szCs w:val="18"/>
        </w:rPr>
        <w:t> AMIA Annual Symposium Proceedings, 2013, 1000-1009. </w:t>
      </w:r>
    </w:p>
    <w:sectPr w:rsidRPr="00490515" w:rsidR="003F21D1" w:rsidSect="003114DF">
      <w:type w:val="continuous"/>
      <w:pgSz w:w="12240" w:h="15840" w:orient="portrait" w:code="1"/>
      <w:pgMar w:top="1440" w:right="1440" w:bottom="1440" w:left="1440" w:header="720" w:footer="720" w:gutter="0"/>
      <w:cols w:space="432" w:num="2"/>
      <w:docGrid w:linePitch="360"/>
      <w:headerReference w:type="default" r:id="Rb0581dc31b27495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5A1C" w:rsidP="00B45C66" w:rsidRDefault="00365A1C" w14:paraId="55725E62" w14:textId="77777777">
      <w:r>
        <w:separator/>
      </w:r>
    </w:p>
  </w:endnote>
  <w:endnote w:type="continuationSeparator" w:id="0">
    <w:p w:rsidR="00365A1C" w:rsidP="00B45C66" w:rsidRDefault="00365A1C" w14:paraId="33CE66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rsidR="003114DF" w:rsidRDefault="003114DF" w14:paraId="58E09F60" w14:textId="506CFC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114DF" w:rsidRDefault="003114DF" w14:paraId="692E2A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5A1C" w:rsidP="00B45C66" w:rsidRDefault="00365A1C" w14:paraId="1C563D2B" w14:textId="77777777">
      <w:r>
        <w:separator/>
      </w:r>
    </w:p>
  </w:footnote>
  <w:footnote w:type="continuationSeparator" w:id="0">
    <w:p w:rsidR="00365A1C" w:rsidP="00B45C66" w:rsidRDefault="00365A1C" w14:paraId="38446F9B"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3E286E" w:rsidTr="363E286E" w14:paraId="55836671">
      <w:trPr>
        <w:trHeight w:val="300"/>
      </w:trPr>
      <w:tc>
        <w:tcPr>
          <w:tcW w:w="3120" w:type="dxa"/>
          <w:tcMar/>
        </w:tcPr>
        <w:p w:rsidR="363E286E" w:rsidP="363E286E" w:rsidRDefault="363E286E" w14:paraId="5731F7CD" w14:textId="1A797C2E">
          <w:pPr>
            <w:pStyle w:val="Header"/>
            <w:bidi w:val="0"/>
            <w:ind w:left="-115"/>
            <w:jc w:val="left"/>
          </w:pPr>
        </w:p>
      </w:tc>
      <w:tc>
        <w:tcPr>
          <w:tcW w:w="3120" w:type="dxa"/>
          <w:tcMar/>
        </w:tcPr>
        <w:p w:rsidR="363E286E" w:rsidP="363E286E" w:rsidRDefault="363E286E" w14:paraId="001D08FD" w14:textId="5893EA17">
          <w:pPr>
            <w:pStyle w:val="Header"/>
            <w:bidi w:val="0"/>
            <w:jc w:val="center"/>
          </w:pPr>
        </w:p>
      </w:tc>
      <w:tc>
        <w:tcPr>
          <w:tcW w:w="3120" w:type="dxa"/>
          <w:tcMar/>
        </w:tcPr>
        <w:p w:rsidR="363E286E" w:rsidP="363E286E" w:rsidRDefault="363E286E" w14:paraId="548BFF43" w14:textId="5B13A86A">
          <w:pPr>
            <w:pStyle w:val="Header"/>
            <w:bidi w:val="0"/>
            <w:ind w:right="-115"/>
            <w:jc w:val="right"/>
          </w:pPr>
        </w:p>
      </w:tc>
    </w:tr>
  </w:tbl>
  <w:p w:rsidR="363E286E" w:rsidP="363E286E" w:rsidRDefault="363E286E" w14:paraId="5092DF56" w14:textId="070598C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3E286E" w:rsidTr="363E286E" w14:paraId="6E1BF497">
      <w:trPr>
        <w:trHeight w:val="300"/>
      </w:trPr>
      <w:tc>
        <w:tcPr>
          <w:tcW w:w="3120" w:type="dxa"/>
          <w:tcMar/>
        </w:tcPr>
        <w:p w:rsidR="363E286E" w:rsidP="363E286E" w:rsidRDefault="363E286E" w14:paraId="4ABB50D8" w14:textId="5C3310FF">
          <w:pPr>
            <w:pStyle w:val="Header"/>
            <w:bidi w:val="0"/>
            <w:ind w:left="-115"/>
            <w:jc w:val="left"/>
          </w:pPr>
        </w:p>
      </w:tc>
      <w:tc>
        <w:tcPr>
          <w:tcW w:w="3120" w:type="dxa"/>
          <w:tcMar/>
        </w:tcPr>
        <w:p w:rsidR="363E286E" w:rsidP="363E286E" w:rsidRDefault="363E286E" w14:paraId="4744C30F" w14:textId="22FECC2D">
          <w:pPr>
            <w:pStyle w:val="Header"/>
            <w:bidi w:val="0"/>
            <w:jc w:val="center"/>
          </w:pPr>
        </w:p>
      </w:tc>
      <w:tc>
        <w:tcPr>
          <w:tcW w:w="3120" w:type="dxa"/>
          <w:tcMar/>
        </w:tcPr>
        <w:p w:rsidR="363E286E" w:rsidP="363E286E" w:rsidRDefault="363E286E" w14:paraId="2543F7BE" w14:textId="76CA8B07">
          <w:pPr>
            <w:pStyle w:val="Header"/>
            <w:bidi w:val="0"/>
            <w:ind w:right="-115"/>
            <w:jc w:val="right"/>
          </w:pPr>
        </w:p>
      </w:tc>
    </w:tr>
  </w:tbl>
  <w:p w:rsidR="363E286E" w:rsidP="363E286E" w:rsidRDefault="363E286E" w14:paraId="5057921B" w14:textId="070EBF9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4E4143"/>
    <w:multiLevelType w:val="hybridMultilevel"/>
    <w:tmpl w:val="D08E772A"/>
    <w:lvl w:ilvl="0" w:tplc="AE02FCE2">
      <w:start w:val="1"/>
      <w:numFmt w:val="bullet"/>
      <w:lvlText w:val=""/>
      <w:lvlJc w:val="left"/>
      <w:pPr>
        <w:tabs>
          <w:tab w:val="num" w:pos="576"/>
        </w:tabs>
        <w:ind w:left="576" w:hanging="432"/>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15529166">
    <w:abstractNumId w:val="2"/>
  </w:num>
  <w:num w:numId="2" w16cid:durableId="373584921">
    <w:abstractNumId w:val="1"/>
  </w:num>
  <w:num w:numId="3" w16cid:durableId="180619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604C"/>
    <w:rsid w:val="00106BE7"/>
    <w:rsid w:val="0013215F"/>
    <w:rsid w:val="00142950"/>
    <w:rsid w:val="00154DF9"/>
    <w:rsid w:val="00192491"/>
    <w:rsid w:val="001A3D1D"/>
    <w:rsid w:val="00245F4E"/>
    <w:rsid w:val="00266030"/>
    <w:rsid w:val="002F4642"/>
    <w:rsid w:val="003114DF"/>
    <w:rsid w:val="00315308"/>
    <w:rsid w:val="003312D9"/>
    <w:rsid w:val="00360C4A"/>
    <w:rsid w:val="00362DCE"/>
    <w:rsid w:val="00365A1C"/>
    <w:rsid w:val="003902FD"/>
    <w:rsid w:val="003A6106"/>
    <w:rsid w:val="003B643A"/>
    <w:rsid w:val="003F21D1"/>
    <w:rsid w:val="00427E8B"/>
    <w:rsid w:val="004315A0"/>
    <w:rsid w:val="00446670"/>
    <w:rsid w:val="004735CE"/>
    <w:rsid w:val="00484BCD"/>
    <w:rsid w:val="00490515"/>
    <w:rsid w:val="004968B2"/>
    <w:rsid w:val="004C3BD5"/>
    <w:rsid w:val="004D24B3"/>
    <w:rsid w:val="004D44D9"/>
    <w:rsid w:val="00527835"/>
    <w:rsid w:val="00563EE3"/>
    <w:rsid w:val="005932A0"/>
    <w:rsid w:val="005CFC9F"/>
    <w:rsid w:val="005E1EBF"/>
    <w:rsid w:val="006270B5"/>
    <w:rsid w:val="00636FCB"/>
    <w:rsid w:val="006440FA"/>
    <w:rsid w:val="006A3BFC"/>
    <w:rsid w:val="006F52EC"/>
    <w:rsid w:val="00703FB6"/>
    <w:rsid w:val="007A7F77"/>
    <w:rsid w:val="007B5D16"/>
    <w:rsid w:val="007C7F55"/>
    <w:rsid w:val="007F00AB"/>
    <w:rsid w:val="007F03E1"/>
    <w:rsid w:val="00801985"/>
    <w:rsid w:val="00866F54"/>
    <w:rsid w:val="00872EAB"/>
    <w:rsid w:val="0087576C"/>
    <w:rsid w:val="008B5586"/>
    <w:rsid w:val="008E67F7"/>
    <w:rsid w:val="00942535"/>
    <w:rsid w:val="009628BD"/>
    <w:rsid w:val="009937E2"/>
    <w:rsid w:val="009A07D0"/>
    <w:rsid w:val="00A03033"/>
    <w:rsid w:val="00A24CE3"/>
    <w:rsid w:val="00A66F17"/>
    <w:rsid w:val="00A87BBD"/>
    <w:rsid w:val="00A92FAB"/>
    <w:rsid w:val="00A95BD9"/>
    <w:rsid w:val="00AD1DD6"/>
    <w:rsid w:val="00AF0261"/>
    <w:rsid w:val="00AF0E68"/>
    <w:rsid w:val="00B07FCB"/>
    <w:rsid w:val="00B23131"/>
    <w:rsid w:val="00B41CC4"/>
    <w:rsid w:val="00B45C66"/>
    <w:rsid w:val="00B46A0B"/>
    <w:rsid w:val="00B670CF"/>
    <w:rsid w:val="00B81C8D"/>
    <w:rsid w:val="00BA3C9F"/>
    <w:rsid w:val="00BE0812"/>
    <w:rsid w:val="00BF084A"/>
    <w:rsid w:val="00C07D02"/>
    <w:rsid w:val="00C661F1"/>
    <w:rsid w:val="00C7077A"/>
    <w:rsid w:val="00C75791"/>
    <w:rsid w:val="00C8049E"/>
    <w:rsid w:val="00CA018F"/>
    <w:rsid w:val="00CA0695"/>
    <w:rsid w:val="00CA1198"/>
    <w:rsid w:val="00D418DA"/>
    <w:rsid w:val="00D8472F"/>
    <w:rsid w:val="00D87630"/>
    <w:rsid w:val="00DD2BB4"/>
    <w:rsid w:val="00DF4809"/>
    <w:rsid w:val="00E10E7A"/>
    <w:rsid w:val="00E67842"/>
    <w:rsid w:val="00F1395F"/>
    <w:rsid w:val="00F27472"/>
    <w:rsid w:val="00F92874"/>
    <w:rsid w:val="00FE5CB2"/>
    <w:rsid w:val="18F8F7FD"/>
    <w:rsid w:val="21D8A16B"/>
    <w:rsid w:val="2A0375B8"/>
    <w:rsid w:val="363E286E"/>
    <w:rsid w:val="4A3B79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styleId="blue1" w:customStyle="1">
    <w:name w:val="blue1"/>
    <w:basedOn w:val="DefaultParagraphFont"/>
    <w:rsid w:val="000A5B63"/>
    <w:rPr>
      <w:rFonts w:hint="default" w:ascii="Verdana" w:hAnsi="Verdana"/>
      <w:b/>
      <w:bCs/>
      <w:i/>
      <w:iCs/>
      <w:color w:val="0000FF"/>
      <w:sz w:val="21"/>
      <w:szCs w:val="21"/>
    </w:r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styleId="BalloonTextChar" w:customStyle="1">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rsid w:val="00490515"/>
    <w:rPr>
      <w:rFonts w:asciiTheme="majorHAnsi" w:hAnsiTheme="majorHAnsi" w:eastAsiaTheme="majorEastAsia" w:cstheme="majorBidi"/>
      <w:b/>
      <w:bCs/>
      <w:i/>
      <w:iCs/>
      <w:color w:val="4F81BD" w:themeColor="accent1"/>
      <w:sz w:val="24"/>
      <w:szCs w:val="24"/>
    </w:rPr>
  </w:style>
  <w:style w:type="paragraph" w:styleId="citation1" w:customStyle="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styleId="HeaderChar" w:customStyle="1">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styleId="FooterChar" w:customStyle="1">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627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9252cef125df4de1" /><Relationship Type="http://schemas.openxmlformats.org/officeDocument/2006/relationships/header" Target="header2.xml" Id="Rb0581dc31b27495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ap:Template>
  <ap:Application>Microsoft Word for the web</ap:Application>
  <ap:DocSecurity>0</ap:DocSecurity>
  <ap:ScaleCrop>false</ap:ScaleCrop>
  <ap:Company>ISECON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dc:title>
  <dc:creator>Administrator</dc:creator>
  <lastModifiedBy>Dawit Hailu</lastModifiedBy>
  <revision>4</revision>
  <dcterms:created xsi:type="dcterms:W3CDTF">2026-04-25T02:06:00.0000000Z</dcterms:created>
  <dcterms:modified xsi:type="dcterms:W3CDTF">2026-04-25T02:21:18.7128677Z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