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0"/>
        <w:gridCol w:w="5955"/>
        <w:gridCol w:w="7029"/>
      </w:tblGrid>
      <w:tr>
        <w:trPr>
          <w:cantSplit w:val="false"/>
        </w:trPr>
        <w:tc>
          <w:tcPr>
            <w:tcW w:w="14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b w:val="false"/>
                <w:i w:val="false"/>
                <w:caps w:val="false"/>
                <w:smallCaps w:val="false"/>
                <w:color w:val="222222"/>
                <w:spacing w:val="0"/>
                <w:sz w:val="24"/>
                <w:szCs w:val="24"/>
              </w:rPr>
            </w:pPr>
            <w:r>
              <w:rPr/>
              <w:t xml:space="preserve">3. Try out ways to match background null sequences and eQTL sequences – through </w:t>
            </w:r>
            <w:r>
              <w:rPr>
                <w:sz w:val="24"/>
                <w:szCs w:val="24"/>
              </w:rPr>
              <w:t>LD scores, n</w:t>
            </w:r>
            <w:r>
              <w:rPr>
                <w:b w:val="false"/>
                <w:i w:val="false"/>
                <w:caps w:val="false"/>
                <w:smallCaps w:val="false"/>
                <w:color w:val="222222"/>
                <w:spacing w:val="0"/>
                <w:sz w:val="24"/>
                <w:szCs w:val="24"/>
              </w:rPr>
              <w:t xml:space="preserve">o. of genes in +-1MB region null SNP, GC content and </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o. of SNPs around null non-eQTL. </w:t>
            </w:r>
            <w:r>
              <w:rPr>
                <w:b w:val="false"/>
                <w:i w:val="false"/>
                <w:caps w:val="false"/>
                <w:smallCaps w:val="false"/>
                <w:color w:val="222222"/>
                <w:spacing w:val="0"/>
                <w:sz w:val="24"/>
                <w:szCs w:val="24"/>
              </w:rPr>
              <w:t xml:space="preserve">This might help identify </w:t>
            </w:r>
            <w:r>
              <w:rPr>
                <w:b w:val="false"/>
                <w:i w:val="false"/>
                <w:caps w:val="false"/>
                <w:smallCaps w:val="false"/>
                <w:color w:val="222222"/>
                <w:spacing w:val="0"/>
                <w:sz w:val="24"/>
                <w:szCs w:val="24"/>
              </w:rPr>
              <w:t>possible confounders.</w:t>
            </w:r>
          </w:p>
          <w:p>
            <w:pPr>
              <w:pStyle w:val="Normal"/>
              <w:rPr>
                <w:b w:val="false"/>
                <w:i w:val="false"/>
                <w:caps w:val="false"/>
                <w:smallCaps w:val="false"/>
                <w:color w:val="222222"/>
                <w:spacing w:val="0"/>
                <w:sz w:val="24"/>
                <w:szCs w:val="24"/>
              </w:rPr>
            </w:pPr>
            <w:r>
              <w:rPr>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runs without any difficulty for the 2001 bp sequences, but Bamm had a memory problem and couldn't run.</w:t>
            </w:r>
          </w:p>
          <w:p>
            <w:pPr>
              <w:pStyle w:val="Normal"/>
              <w:rPr/>
            </w:pPr>
            <w:r>
              <w:rPr/>
              <w:t>Increased virtual memory (called “swap size” in linux) to 32 GB (did this in increments until Bamm would run). After this, Bamm ran without any problems, though it took a few days.</w:t>
            </w:r>
          </w:p>
          <w:p>
            <w:pPr>
              <w:pStyle w:val="Normal"/>
              <w:rPr/>
            </w:pPr>
            <w:r>
              <w:rPr/>
            </w:r>
          </w:p>
          <w:p>
            <w:pPr>
              <w:pStyle w:val="Normal"/>
              <w:rPr/>
            </w:pPr>
            <w:r>
              <w:rPr/>
            </w:r>
          </w:p>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After the long break I needed to refresh my memory with respect to scripts, programs etc. Also decided that it would be useful to check the reliability of Homer and Bamm. So ran programs 3 times each and then ran the Stamp program twice – on the three versions of each algorithm. The cladogram showed that each version of the same algorithm produced exactly the same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March 5</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the Stamp algorithim on the Homer and Bamm results and processed these results to find a list of overrepresented transcription factors.</w:t>
            </w:r>
          </w:p>
          <w:p>
            <w:pPr>
              <w:pStyle w:val="Normal"/>
              <w:rPr/>
            </w:pPr>
            <w:r>
              <w:rPr/>
              <w:t>Ran the Homer and Bamm algorithms on the 1kb null sequences and processed these results to find transcription factors overrepresented in the null sequences.</w:t>
            </w:r>
          </w:p>
          <w:p>
            <w:pPr>
              <w:pStyle w:val="Normal"/>
              <w:rPr/>
            </w:pPr>
            <w:r>
              <w:rPr/>
              <w:t>Results were the same as for the pilot study – only two transcription factors were unique to  eQTL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b w:val="false"/>
                <w:i w:val="false"/>
                <w:strike w:val="false"/>
                <w:dstrike w:val="false"/>
                <w:outline w:val="false"/>
                <w:shadow w:val="false"/>
                <w:sz w:val="24"/>
                <w:szCs w:val="24"/>
                <w:u w:val="none"/>
                <w:em w:val="none"/>
              </w:rPr>
            </w:pPr>
            <w:r>
              <w:rPr/>
              <w:t>Another way of viewing the data is by examining more closely the number of motifs that could be bound by any particular transcription factor. For example, there are 19 eQTL motifs that could be bound by the transcription factor “Hunchback”, but only 6 null motifs. Of these 6 motifs only one was found by the Homer algorithm, which also provides a relatively high probability that the association between the motif and the transcription factor may be due to chance (0.02, compare</w:t>
            </w:r>
            <w:r>
              <w:rPr>
                <w:sz w:val="24"/>
                <w:szCs w:val="24"/>
              </w:rPr>
              <w:t xml:space="preserve">d to </w:t>
            </w:r>
            <w:r>
              <w:rPr>
                <w:b w:val="false"/>
                <w:i w:val="false"/>
                <w:strike w:val="false"/>
                <w:dstrike w:val="false"/>
                <w:outline w:val="false"/>
                <w:shadow w:val="false"/>
                <w:sz w:val="24"/>
                <w:szCs w:val="24"/>
                <w:u w:val="none"/>
                <w:em w:val="none"/>
              </w:rPr>
              <w:t xml:space="preserve">0.000080107 </w:t>
            </w:r>
            <w:r>
              <w:rPr>
                <w:b w:val="false"/>
                <w:i w:val="false"/>
                <w:strike w:val="false"/>
                <w:dstrike w:val="false"/>
                <w:outline w:val="false"/>
                <w:shadow w:val="false"/>
                <w:sz w:val="24"/>
                <w:szCs w:val="24"/>
                <w:u w:val="none"/>
                <w:em w:val="none"/>
              </w:rPr>
              <w:t>for the top Homer motif in the eQTL motifs).</w:t>
            </w:r>
          </w:p>
          <w:p>
            <w:pPr>
              <w:pStyle w:val="Normal"/>
              <w:rPr/>
            </w:pPr>
            <w:r>
              <w:rPr/>
            </w:r>
          </w:p>
          <w:p>
            <w:pPr>
              <w:pStyle w:val="Normal"/>
              <w:rPr/>
            </w:pPr>
            <w:r>
              <w:rPr/>
              <w:t xml:space="preserve">The TF “AGL3” has16 eQTL motifs compared to 8 null motifs. All the motifs are Bamm motifs – none found by Homer. </w:t>
            </w:r>
            <w:r>
              <w:rPr/>
              <w:t>The “ABI4” TF, on the other hand, has 28 eQTL motifs compared to 9 null motifs, but all of these are Homer motifs, with none found by Bamm.</w:t>
            </w:r>
          </w:p>
          <w:p>
            <w:pPr>
              <w:pStyle w:val="Normal"/>
              <w:rPr/>
            </w:pPr>
            <w:r>
              <w:rPr/>
            </w:r>
          </w:p>
          <w:p>
            <w:pPr>
              <w:pStyle w:val="Normal"/>
              <w:rPr/>
            </w:pPr>
            <w:r>
              <w:rPr/>
              <w:t>It's possible that a large number of small differences might contribute to the final outcome of changed gene expression.</w:t>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2018-03-10T18:23:07Z</dcterms:modified>
  <cp:revision>30</cp:revision>
</cp:coreProperties>
</file>