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E33E" w14:textId="0F1CEEAD" w:rsidR="00304132" w:rsidRPr="002B1E19" w:rsidRDefault="008C1E14" w:rsidP="008C1E14">
      <w:pPr>
        <w:jc w:val="center"/>
        <w:rPr>
          <w:rFonts w:ascii="Segoe UI" w:hAnsi="Segoe UI" w:cs="Segoe UI"/>
          <w:b/>
          <w:bCs/>
        </w:rPr>
      </w:pPr>
      <w:r w:rsidRPr="002B1E19">
        <w:rPr>
          <w:rFonts w:ascii="Segoe UI" w:hAnsi="Segoe UI" w:cs="Segoe UI"/>
          <w:b/>
          <w:bCs/>
          <w:sz w:val="28"/>
          <w:szCs w:val="28"/>
        </w:rPr>
        <w:t>Diagnosing high soil strength in sandy soils</w:t>
      </w:r>
    </w:p>
    <w:p w14:paraId="545DC2CC" w14:textId="0398D55A" w:rsidR="00D2735B" w:rsidRPr="003442DA" w:rsidRDefault="00812FDB" w:rsidP="00304132">
      <w:pPr>
        <w:rPr>
          <w:rFonts w:ascii="Segoe UI" w:hAnsi="Segoe UI" w:cs="Segoe UI"/>
          <w:sz w:val="18"/>
          <w:szCs w:val="18"/>
        </w:rPr>
      </w:pPr>
      <w:r w:rsidRPr="002B1E19">
        <w:rPr>
          <w:rFonts w:ascii="Segoe UI" w:hAnsi="Segoe UI" w:cs="Segoe UI"/>
          <w:sz w:val="18"/>
          <w:szCs w:val="18"/>
        </w:rPr>
        <w:t xml:space="preserve">High soil strength can </w:t>
      </w:r>
      <w:r w:rsidR="009B71AB" w:rsidRPr="002B1E19">
        <w:rPr>
          <w:rFonts w:ascii="Segoe UI" w:hAnsi="Segoe UI" w:cs="Segoe UI"/>
          <w:sz w:val="18"/>
          <w:szCs w:val="18"/>
        </w:rPr>
        <w:t xml:space="preserve">be caused by compaction and/or hard setting and can </w:t>
      </w:r>
      <w:r w:rsidRPr="002B1E19">
        <w:rPr>
          <w:rFonts w:ascii="Segoe UI" w:hAnsi="Segoe UI" w:cs="Segoe UI"/>
          <w:sz w:val="18"/>
          <w:szCs w:val="18"/>
        </w:rPr>
        <w:t xml:space="preserve">severely limit </w:t>
      </w:r>
      <w:r w:rsidRPr="002B1E19">
        <w:rPr>
          <w:rFonts w:ascii="Segoe UI" w:hAnsi="Segoe UI" w:cs="Segoe UI"/>
          <w:sz w:val="18"/>
          <w:szCs w:val="18"/>
        </w:rPr>
        <w:t>plant</w:t>
      </w:r>
      <w:r>
        <w:rPr>
          <w:rFonts w:ascii="Segoe UI" w:hAnsi="Segoe UI" w:cs="Segoe UI"/>
          <w:sz w:val="18"/>
          <w:szCs w:val="18"/>
        </w:rPr>
        <w:t xml:space="preserve"> root penetration through the soil</w:t>
      </w:r>
      <w:r>
        <w:rPr>
          <w:rFonts w:ascii="Segoe UI" w:hAnsi="Segoe UI" w:cs="Segoe UI"/>
          <w:sz w:val="18"/>
          <w:szCs w:val="18"/>
        </w:rPr>
        <w:t xml:space="preserve">, preventing access to deep reserves of soil moisture and nutrients. </w:t>
      </w:r>
      <w:r w:rsidR="003E739F">
        <w:rPr>
          <w:rFonts w:ascii="Segoe UI" w:hAnsi="Segoe UI" w:cs="Segoe UI"/>
          <w:sz w:val="18"/>
          <w:szCs w:val="18"/>
        </w:rPr>
        <w:t>A</w:t>
      </w:r>
      <w:r>
        <w:rPr>
          <w:rFonts w:ascii="Segoe UI" w:hAnsi="Segoe UI" w:cs="Segoe UI"/>
          <w:sz w:val="18"/>
          <w:szCs w:val="18"/>
        </w:rPr>
        <w:t xml:space="preserve"> hydraulic cone penetrometer is the simplest tool to use to </w:t>
      </w:r>
      <w:r w:rsidR="00D2735B">
        <w:rPr>
          <w:rFonts w:ascii="Segoe UI" w:hAnsi="Segoe UI" w:cs="Segoe UI"/>
          <w:sz w:val="18"/>
          <w:szCs w:val="18"/>
        </w:rPr>
        <w:t>measure soil strength</w:t>
      </w:r>
      <w:bookmarkStart w:id="0" w:name="_Hlk105324518"/>
      <w:r>
        <w:rPr>
          <w:rFonts w:ascii="Segoe UI" w:hAnsi="Segoe UI" w:cs="Segoe UI"/>
          <w:sz w:val="18"/>
          <w:szCs w:val="18"/>
        </w:rPr>
        <w:t>. It m</w:t>
      </w:r>
      <w:r w:rsidR="003E739F" w:rsidRPr="003E739F">
        <w:rPr>
          <w:rFonts w:ascii="Segoe UI" w:hAnsi="Segoe UI" w:cs="Segoe UI"/>
          <w:color w:val="000000" w:themeColor="text1"/>
          <w:sz w:val="18"/>
          <w:szCs w:val="18"/>
        </w:rPr>
        <w:t xml:space="preserve">easures </w:t>
      </w:r>
      <w:r>
        <w:rPr>
          <w:rFonts w:ascii="Segoe UI" w:hAnsi="Segoe UI" w:cs="Segoe UI"/>
          <w:color w:val="000000" w:themeColor="text1"/>
          <w:sz w:val="18"/>
          <w:szCs w:val="18"/>
        </w:rPr>
        <w:t>the</w:t>
      </w:r>
      <w:r w:rsidR="003E739F" w:rsidRPr="003E739F">
        <w:rPr>
          <w:rFonts w:ascii="Segoe UI" w:hAnsi="Segoe UI" w:cs="Segoe UI"/>
          <w:color w:val="000000" w:themeColor="text1"/>
          <w:sz w:val="18"/>
          <w:szCs w:val="18"/>
        </w:rPr>
        <w:t xml:space="preserve"> force required to insert a standard cone into the soil</w:t>
      </w:r>
      <w:r>
        <w:rPr>
          <w:rFonts w:ascii="Segoe UI" w:hAnsi="Segoe UI" w:cs="Segoe UI"/>
          <w:color w:val="000000" w:themeColor="text1"/>
          <w:sz w:val="18"/>
          <w:szCs w:val="18"/>
        </w:rPr>
        <w:t>,</w:t>
      </w:r>
      <w:r w:rsidR="003E739F" w:rsidRPr="003E739F">
        <w:rPr>
          <w:rFonts w:ascii="Segoe UI" w:hAnsi="Segoe UI" w:cs="Segoe UI"/>
          <w:color w:val="000000" w:themeColor="text1"/>
          <w:sz w:val="18"/>
          <w:szCs w:val="18"/>
        </w:rPr>
        <w:t xml:space="preserve"> reported as either kiloPascals (kPa) or megaPascals (</w:t>
      </w:r>
      <w:r w:rsidR="002B1E19">
        <w:rPr>
          <w:rFonts w:ascii="Segoe UI" w:hAnsi="Segoe UI" w:cs="Segoe UI"/>
          <w:color w:val="000000" w:themeColor="text1"/>
          <w:sz w:val="18"/>
          <w:szCs w:val="18"/>
        </w:rPr>
        <w:t xml:space="preserve">1 </w:t>
      </w:r>
      <w:r w:rsidR="003E739F" w:rsidRPr="003E739F">
        <w:rPr>
          <w:rFonts w:ascii="Segoe UI" w:hAnsi="Segoe UI" w:cs="Segoe UI"/>
          <w:color w:val="000000" w:themeColor="text1"/>
          <w:sz w:val="18"/>
          <w:szCs w:val="18"/>
        </w:rPr>
        <w:t>MPa</w:t>
      </w:r>
      <w:r w:rsidR="002B1E19">
        <w:rPr>
          <w:rFonts w:ascii="Segoe UI" w:hAnsi="Segoe UI" w:cs="Segoe UI"/>
          <w:color w:val="000000" w:themeColor="text1"/>
          <w:sz w:val="18"/>
          <w:szCs w:val="18"/>
        </w:rPr>
        <w:t xml:space="preserve"> = 1000 kPa</w:t>
      </w:r>
      <w:r w:rsidR="003E739F" w:rsidRPr="003E739F">
        <w:rPr>
          <w:rFonts w:ascii="Segoe UI" w:hAnsi="Segoe UI" w:cs="Segoe UI"/>
          <w:color w:val="000000" w:themeColor="text1"/>
          <w:sz w:val="18"/>
          <w:szCs w:val="18"/>
        </w:rPr>
        <w:t>)</w:t>
      </w:r>
      <w:r>
        <w:rPr>
          <w:rFonts w:ascii="Segoe UI" w:hAnsi="Segoe UI" w:cs="Segoe UI"/>
          <w:color w:val="000000" w:themeColor="text1"/>
          <w:sz w:val="18"/>
          <w:szCs w:val="18"/>
        </w:rPr>
        <w:t>. Follow the method outlined in Table 1 to measure soil strength and u</w:t>
      </w:r>
      <w:r w:rsidR="003E739F">
        <w:rPr>
          <w:rFonts w:ascii="Segoe UI" w:hAnsi="Segoe UI" w:cs="Segoe UI"/>
          <w:sz w:val="18"/>
          <w:szCs w:val="18"/>
          <w:lang w:val="en-AU"/>
        </w:rPr>
        <w:t>se the diagnostic criteria in Table</w:t>
      </w:r>
      <w:r w:rsidR="003E739F">
        <w:rPr>
          <w:rFonts w:ascii="Segoe UI" w:hAnsi="Segoe UI" w:cs="Segoe UI"/>
          <w:sz w:val="18"/>
          <w:szCs w:val="18"/>
          <w:lang w:val="en-AU"/>
        </w:rPr>
        <w:t xml:space="preserve"> 2</w:t>
      </w:r>
      <w:r w:rsidR="003E739F">
        <w:rPr>
          <w:rFonts w:ascii="Segoe UI" w:hAnsi="Segoe UI" w:cs="Segoe UI"/>
          <w:sz w:val="18"/>
          <w:szCs w:val="18"/>
          <w:lang w:val="en-AU"/>
        </w:rPr>
        <w:t xml:space="preserve"> to assess the severity </w:t>
      </w:r>
      <w:r>
        <w:rPr>
          <w:rFonts w:ascii="Segoe UI" w:hAnsi="Segoe UI" w:cs="Segoe UI"/>
          <w:sz w:val="18"/>
          <w:szCs w:val="18"/>
          <w:lang w:val="en-AU"/>
        </w:rPr>
        <w:t xml:space="preserve">and assign a Sandbox rank for each paddock diagnostic zone. </w:t>
      </w:r>
    </w:p>
    <w:tbl>
      <w:tblPr>
        <w:tblStyle w:val="TableGrid1"/>
        <w:tblW w:w="9644" w:type="dxa"/>
        <w:tblInd w:w="-5" w:type="dxa"/>
        <w:tblLook w:val="04A0" w:firstRow="1" w:lastRow="0" w:firstColumn="1" w:lastColumn="0" w:noHBand="0" w:noVBand="1"/>
      </w:tblPr>
      <w:tblGrid>
        <w:gridCol w:w="1706"/>
        <w:gridCol w:w="7938"/>
      </w:tblGrid>
      <w:tr w:rsidR="008C1E14" w:rsidRPr="003E739F" w14:paraId="4C6C60D5" w14:textId="77777777" w:rsidTr="00812FDB">
        <w:trPr>
          <w:trHeight w:val="184"/>
        </w:trPr>
        <w:tc>
          <w:tcPr>
            <w:tcW w:w="96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bookmarkEnd w:id="0"/>
          <w:p w14:paraId="58F91711" w14:textId="2C847366" w:rsidR="008C1E14" w:rsidRPr="003E739F" w:rsidRDefault="008C1E14" w:rsidP="003E739F">
            <w:pP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Table 1. Testing methods to measure hard or compacted soil layers</w:t>
            </w:r>
            <w:r w:rsidR="003E739F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using a penetrometer.</w:t>
            </w:r>
          </w:p>
        </w:tc>
      </w:tr>
      <w:tr w:rsidR="008C1E14" w:rsidRPr="003E739F" w14:paraId="43B7F66C" w14:textId="77777777" w:rsidTr="009B71AB">
        <w:trPr>
          <w:trHeight w:val="315"/>
        </w:trPr>
        <w:tc>
          <w:tcPr>
            <w:tcW w:w="1706" w:type="dxa"/>
          </w:tcPr>
          <w:p w14:paraId="2807F102" w14:textId="77777777" w:rsidR="008C1E14" w:rsidRPr="003E739F" w:rsidRDefault="008C1E14" w:rsidP="00331D15">
            <w:pP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EQUIPMENT</w:t>
            </w:r>
          </w:p>
        </w:tc>
        <w:tc>
          <w:tcPr>
            <w:tcW w:w="7938" w:type="dxa"/>
            <w:shd w:val="clear" w:color="auto" w:fill="EDEDED" w:themeFill="accent3" w:themeFillTint="33"/>
          </w:tcPr>
          <w:p w14:paraId="4EECA024" w14:textId="018FEABF" w:rsidR="008C1E14" w:rsidRPr="00D01F0F" w:rsidRDefault="008C1E14" w:rsidP="00D01F0F">
            <w:pPr>
              <w:numPr>
                <w:ilvl w:val="0"/>
                <w:numId w:val="9"/>
              </w:numPr>
              <w:ind w:left="318" w:hanging="318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Hydraulic Cone Penetrometer </w:t>
            </w:r>
          </w:p>
        </w:tc>
      </w:tr>
      <w:tr w:rsidR="008C1E14" w:rsidRPr="003E739F" w14:paraId="051B1A76" w14:textId="77777777" w:rsidTr="009B71AB">
        <w:trPr>
          <w:trHeight w:val="2446"/>
        </w:trPr>
        <w:tc>
          <w:tcPr>
            <w:tcW w:w="1706" w:type="dxa"/>
          </w:tcPr>
          <w:p w14:paraId="03756BCC" w14:textId="77777777" w:rsidR="008C1E14" w:rsidRPr="003E739F" w:rsidRDefault="008C1E14" w:rsidP="00331D15">
            <w:pP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PREPARATION</w:t>
            </w:r>
          </w:p>
        </w:tc>
        <w:tc>
          <w:tcPr>
            <w:tcW w:w="7938" w:type="dxa"/>
            <w:shd w:val="clear" w:color="auto" w:fill="EDEDED" w:themeFill="accent3" w:themeFillTint="33"/>
          </w:tcPr>
          <w:p w14:paraId="3659016F" w14:textId="055B1185" w:rsidR="009B71AB" w:rsidRPr="002B1E19" w:rsidRDefault="008C1E14" w:rsidP="002B1E19">
            <w:pPr>
              <w:numPr>
                <w:ilvl w:val="0"/>
                <w:numId w:val="9"/>
              </w:numPr>
              <w:spacing w:after="120"/>
              <w:ind w:left="318" w:hanging="318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Identify </w:t>
            </w:r>
            <w:r w:rsidR="002B1E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three to five distinct </w:t>
            </w: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paddock diagnostic zones</w:t>
            </w:r>
            <w:r w:rsidR="002B1E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using yield maps, aerial imagery or soil sensing technologies. </w:t>
            </w:r>
          </w:p>
          <w:p w14:paraId="17EC7CEA" w14:textId="78B97583" w:rsidR="008C1E14" w:rsidRPr="003E739F" w:rsidRDefault="008C1E14" w:rsidP="002B1E19">
            <w:pPr>
              <w:spacing w:before="120"/>
              <w:ind w:left="318" w:hanging="318"/>
              <w:contextualSpacing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WET CONDITIONS</w:t>
            </w:r>
          </w:p>
          <w:p w14:paraId="723DDB0D" w14:textId="3F88F134" w:rsidR="009B71AB" w:rsidRPr="002B1E19" w:rsidRDefault="002B1E19" w:rsidP="002B1E19">
            <w:pPr>
              <w:numPr>
                <w:ilvl w:val="0"/>
                <w:numId w:val="9"/>
              </w:numPr>
              <w:ind w:left="318" w:hanging="318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Ideally, conduct assessments when the </w:t>
            </w:r>
            <w:r w:rsidR="008C1E14"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soil profile is uniformly wet (but not saturated), typically in the winter months</w:t>
            </w:r>
            <w:r w:rsidR="009B71A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</w:t>
            </w:r>
          </w:p>
          <w:p w14:paraId="6F7E3E6E" w14:textId="280C310A" w:rsidR="008C1E14" w:rsidRPr="003E739F" w:rsidRDefault="008C1E14" w:rsidP="009B71AB">
            <w:pPr>
              <w:ind w:left="318" w:hanging="318"/>
              <w:contextualSpacing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DRY CONDITIONS</w:t>
            </w:r>
          </w:p>
          <w:p w14:paraId="1828F991" w14:textId="77777777" w:rsidR="008C1E14" w:rsidRPr="003E739F" w:rsidRDefault="008C1E14" w:rsidP="009B71AB">
            <w:pPr>
              <w:ind w:left="318" w:hanging="318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If the soil is dry when wanting to test: </w:t>
            </w:r>
          </w:p>
          <w:p w14:paraId="0DE0E8F3" w14:textId="76FAFB93" w:rsidR="008C1E14" w:rsidRPr="003E739F" w:rsidRDefault="008C1E14" w:rsidP="009B71AB">
            <w:pPr>
              <w:pStyle w:val="ListParagraph"/>
              <w:numPr>
                <w:ilvl w:val="0"/>
                <w:numId w:val="9"/>
              </w:numPr>
              <w:ind w:left="318" w:hanging="318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Wet up an area in each diagnostic zone </w:t>
            </w:r>
          </w:p>
          <w:p w14:paraId="185DA55A" w14:textId="1D539337" w:rsidR="008C1E14" w:rsidRPr="003E739F" w:rsidRDefault="008C1E14" w:rsidP="009B71AB">
            <w:pPr>
              <w:pStyle w:val="ListParagraph"/>
              <w:numPr>
                <w:ilvl w:val="0"/>
                <w:numId w:val="13"/>
              </w:numPr>
              <w:ind w:left="318" w:hanging="318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Use a large bucket or tub with 2mm holes in the bottom.</w:t>
            </w:r>
          </w:p>
          <w:p w14:paraId="037234B9" w14:textId="0365CA31" w:rsidR="008C1E14" w:rsidRPr="003E739F" w:rsidRDefault="008C1E14" w:rsidP="009B71AB">
            <w:pPr>
              <w:numPr>
                <w:ilvl w:val="0"/>
                <w:numId w:val="9"/>
              </w:numPr>
              <w:ind w:left="318" w:hanging="318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Trim any standing stubble back to ground level, being careful not to disturb the root system. Place a piece of coarse cloth on the ground, place the bucket on top and </w:t>
            </w:r>
            <w:r w:rsidR="009B71A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back</w:t>
            </w: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fill around the</w:t>
            </w:r>
            <w:r w:rsidR="009B71A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base of</w:t>
            </w: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2B1E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the </w:t>
            </w: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bucket with soil.</w:t>
            </w:r>
          </w:p>
          <w:p w14:paraId="581F163C" w14:textId="2D611C52" w:rsidR="008C1E14" w:rsidRPr="003E739F" w:rsidRDefault="008C1E14" w:rsidP="009B71AB">
            <w:pPr>
              <w:numPr>
                <w:ilvl w:val="0"/>
                <w:numId w:val="9"/>
              </w:numPr>
              <w:ind w:left="318" w:hanging="318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Fill the bucket with water and allow to drain</w:t>
            </w:r>
            <w:r w:rsidR="009B71A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leaving for a day before testing.</w:t>
            </w:r>
          </w:p>
          <w:p w14:paraId="239C90E8" w14:textId="69304A48" w:rsidR="008C1E14" w:rsidRPr="003E739F" w:rsidRDefault="008C1E14" w:rsidP="009B71AB">
            <w:pPr>
              <w:numPr>
                <w:ilvl w:val="0"/>
                <w:numId w:val="9"/>
              </w:numPr>
              <w:ind w:left="318" w:hanging="318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After using the penetrometer, dig down to the testing depth to check that the wetting was uniform</w:t>
            </w:r>
            <w:r w:rsidR="009B71A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through the profile.</w:t>
            </w:r>
          </w:p>
        </w:tc>
      </w:tr>
      <w:tr w:rsidR="008C1E14" w:rsidRPr="003E739F" w14:paraId="394A6A57" w14:textId="77777777" w:rsidTr="009B71AB">
        <w:trPr>
          <w:trHeight w:val="1288"/>
        </w:trPr>
        <w:tc>
          <w:tcPr>
            <w:tcW w:w="1706" w:type="dxa"/>
          </w:tcPr>
          <w:p w14:paraId="7BD2CCB2" w14:textId="77777777" w:rsidR="008C1E14" w:rsidRPr="003E739F" w:rsidRDefault="008C1E14" w:rsidP="00331D15">
            <w:pP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TESTING</w:t>
            </w:r>
          </w:p>
        </w:tc>
        <w:tc>
          <w:tcPr>
            <w:tcW w:w="7938" w:type="dxa"/>
            <w:shd w:val="clear" w:color="auto" w:fill="EDEDED" w:themeFill="accent3" w:themeFillTint="33"/>
          </w:tcPr>
          <w:p w14:paraId="465752D5" w14:textId="10078B97" w:rsidR="008C1E14" w:rsidRPr="003E739F" w:rsidRDefault="008C1E14" w:rsidP="009B71AB">
            <w:pPr>
              <w:pStyle w:val="ListParagraph"/>
              <w:numPr>
                <w:ilvl w:val="0"/>
                <w:numId w:val="12"/>
              </w:numPr>
              <w:ind w:left="318" w:hanging="318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Insert the penetrometer into the soil at a steady speed of 3 cm per second</w:t>
            </w:r>
            <w:r w:rsidR="002B1E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</w:t>
            </w:r>
          </w:p>
          <w:p w14:paraId="57B196FB" w14:textId="3353AFD6" w:rsidR="008C1E14" w:rsidRPr="003E739F" w:rsidRDefault="008C1E14" w:rsidP="009B71AB">
            <w:pPr>
              <w:pStyle w:val="ListParagraph"/>
              <w:numPr>
                <w:ilvl w:val="0"/>
                <w:numId w:val="12"/>
              </w:numPr>
              <w:ind w:left="318" w:hanging="318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Note the</w:t>
            </w:r>
            <w:r w:rsidR="009B71A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depth where the penetration resistance (PR) reaches</w:t>
            </w:r>
            <w:r w:rsidR="002B1E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1.5 MPa and</w:t>
            </w:r>
            <w:r w:rsidR="009B71A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2.5 MPa.</w:t>
            </w:r>
            <w:r w:rsidR="002B1E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Continue to insert the penetrometer and note the maximum PR, and the depth at which it occurs. </w:t>
            </w:r>
          </w:p>
          <w:p w14:paraId="3D7C5D20" w14:textId="092D649A" w:rsidR="008C1E14" w:rsidRPr="003E739F" w:rsidRDefault="008C1E14" w:rsidP="009B71AB">
            <w:pPr>
              <w:pStyle w:val="ListParagraph"/>
              <w:numPr>
                <w:ilvl w:val="0"/>
                <w:numId w:val="12"/>
              </w:numPr>
              <w:ind w:left="318" w:hanging="318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Repeat several times in the surrounding area to gauge the average </w:t>
            </w:r>
            <w:r w:rsidR="002B1E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depth</w:t>
            </w:r>
            <w:r w:rsidR="00D01F0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  <w:r w:rsidR="002B1E1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severity. </w:t>
            </w:r>
          </w:p>
          <w:p w14:paraId="1EB3785A" w14:textId="761F7DAF" w:rsidR="008C1E14" w:rsidRPr="003E739F" w:rsidRDefault="008C1E14" w:rsidP="009B71AB">
            <w:pPr>
              <w:pStyle w:val="ListParagraph"/>
              <w:numPr>
                <w:ilvl w:val="0"/>
                <w:numId w:val="12"/>
              </w:numPr>
              <w:ind w:left="318" w:hanging="318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Repeat in 3 to 5 locations within each diagnostic zone</w:t>
            </w:r>
            <w:r w:rsidR="009B71A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</w:t>
            </w:r>
          </w:p>
          <w:p w14:paraId="36969EC6" w14:textId="6E8B6E9D" w:rsidR="008C1E14" w:rsidRPr="003E739F" w:rsidRDefault="008C1E14" w:rsidP="009B71AB">
            <w:pPr>
              <w:pStyle w:val="ListParagraph"/>
              <w:numPr>
                <w:ilvl w:val="0"/>
                <w:numId w:val="12"/>
              </w:numPr>
              <w:ind w:left="318" w:hanging="318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Compare readings to un-trafficked areas, such as along fence lines or in native vegetation and avoid wheel tracks and headlands</w:t>
            </w:r>
            <w:r w:rsidR="009B71A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</w:t>
            </w:r>
          </w:p>
          <w:p w14:paraId="2BBA2A35" w14:textId="2DAABDDF" w:rsidR="008C1E14" w:rsidRPr="003E739F" w:rsidRDefault="008C1E14" w:rsidP="009B71AB">
            <w:pPr>
              <w:pStyle w:val="ListParagraph"/>
              <w:numPr>
                <w:ilvl w:val="0"/>
                <w:numId w:val="12"/>
              </w:numPr>
              <w:ind w:left="318" w:hanging="318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Penetrometers are unsuitable for use in soils with more than 10-15% gravel</w:t>
            </w:r>
            <w:r w:rsidR="003E739F" w:rsidRPr="003E739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may be difficult to use in dense high clay soils.</w:t>
            </w:r>
          </w:p>
        </w:tc>
      </w:tr>
    </w:tbl>
    <w:p w14:paraId="54C3632E" w14:textId="72D72E3E" w:rsidR="005636E0" w:rsidRPr="00B26A47" w:rsidRDefault="005636E0" w:rsidP="003E739F">
      <w:pPr>
        <w:pStyle w:val="pf0"/>
        <w:spacing w:before="0" w:beforeAutospacing="0" w:after="0" w:afterAutospacing="0"/>
      </w:pPr>
    </w:p>
    <w:tbl>
      <w:tblPr>
        <w:tblStyle w:val="TableGrid"/>
        <w:tblW w:w="9725" w:type="dxa"/>
        <w:tblInd w:w="-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16"/>
        <w:gridCol w:w="2339"/>
        <w:gridCol w:w="2227"/>
        <w:gridCol w:w="2891"/>
      </w:tblGrid>
      <w:tr w:rsidR="009B71AB" w14:paraId="10D67494" w14:textId="4F019709" w:rsidTr="009B71AB">
        <w:trPr>
          <w:trHeight w:val="194"/>
        </w:trPr>
        <w:tc>
          <w:tcPr>
            <w:tcW w:w="9725" w:type="dxa"/>
            <w:gridSpan w:val="5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14:paraId="2254232F" w14:textId="571F5E9F" w:rsidR="009B71AB" w:rsidRPr="002B1E19" w:rsidRDefault="009B71AB" w:rsidP="00812FDB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Table 2. </w:t>
            </w:r>
            <w:r w:rsidR="002B1E19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Severity of penetration resistance, </w:t>
            </w:r>
            <w:r w:rsidR="002B1E19">
              <w:rPr>
                <w:rFonts w:ascii="Segoe UI" w:hAnsi="Segoe UI" w:cs="Segoe UI"/>
                <w:sz w:val="16"/>
                <w:szCs w:val="16"/>
              </w:rPr>
              <w:t>as measured using a hydraulic cone penet</w:t>
            </w:r>
            <w:r w:rsidR="00D01F0F">
              <w:rPr>
                <w:rFonts w:ascii="Segoe UI" w:hAnsi="Segoe UI" w:cs="Segoe UI"/>
                <w:sz w:val="16"/>
                <w:szCs w:val="16"/>
              </w:rPr>
              <w:t>rometer. High soil strength may also be detected by inspecting open soil pits, with the degree of soil consolidation and lack of roots indicating soil physical constraints.</w:t>
            </w:r>
          </w:p>
        </w:tc>
      </w:tr>
      <w:tr w:rsidR="009B71AB" w14:paraId="6265C796" w14:textId="68AE5808" w:rsidTr="009B71AB">
        <w:trPr>
          <w:trHeight w:val="194"/>
        </w:trPr>
        <w:tc>
          <w:tcPr>
            <w:tcW w:w="1152" w:type="dxa"/>
            <w:tcBorders>
              <w:top w:val="single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924C6F" w14:textId="77777777" w:rsidR="009B71AB" w:rsidRPr="003442DA" w:rsidRDefault="009B71AB" w:rsidP="009B71AB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3442DA">
              <w:rPr>
                <w:rFonts w:ascii="Segoe UI" w:hAnsi="Segoe UI" w:cs="Segoe UI"/>
                <w:b/>
                <w:bCs/>
                <w:sz w:val="16"/>
                <w:szCs w:val="16"/>
              </w:rPr>
              <w:t>Sandbox Rank</w:t>
            </w:r>
          </w:p>
        </w:tc>
        <w:tc>
          <w:tcPr>
            <w:tcW w:w="1116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14:paraId="0117D55B" w14:textId="34F9AA1F" w:rsidR="009B71AB" w:rsidRPr="003442DA" w:rsidRDefault="009B71AB" w:rsidP="009B71AB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2339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18B2FD7" w14:textId="7D9F25F9" w:rsidR="009B71AB" w:rsidRPr="003442DA" w:rsidRDefault="009B71AB" w:rsidP="009B71AB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Penetration resistance (</w:t>
            </w:r>
            <w:r w:rsidRPr="003442DA">
              <w:rPr>
                <w:rFonts w:ascii="Segoe UI" w:hAnsi="Segoe UI" w:cs="Segoe UI"/>
                <w:b/>
                <w:bCs/>
                <w:sz w:val="16"/>
                <w:szCs w:val="16"/>
              </w:rPr>
              <w:t>MPa</w:t>
            </w: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227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vAlign w:val="center"/>
          </w:tcPr>
          <w:p w14:paraId="62EFA663" w14:textId="26515274" w:rsidR="009B71AB" w:rsidRPr="003442DA" w:rsidRDefault="009B71AB" w:rsidP="009B71AB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3442DA">
              <w:rPr>
                <w:rFonts w:ascii="Segoe UI" w:hAnsi="Segoe UI" w:cs="Segoe UI"/>
                <w:b/>
                <w:bCs/>
                <w:sz w:val="16"/>
                <w:szCs w:val="16"/>
              </w:rPr>
              <w:t>Degree of consolidation</w:t>
            </w:r>
          </w:p>
        </w:tc>
        <w:tc>
          <w:tcPr>
            <w:tcW w:w="2891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05223D4E" w14:textId="57FA4DCD" w:rsidR="009B71AB" w:rsidRPr="003442DA" w:rsidRDefault="009B71AB" w:rsidP="009B71AB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3442DA">
              <w:rPr>
                <w:rFonts w:ascii="Segoe UI" w:hAnsi="Segoe UI" w:cs="Segoe UI"/>
                <w:b/>
                <w:bCs/>
                <w:sz w:val="16"/>
                <w:szCs w:val="16"/>
              </w:rPr>
              <w:t>Effect on Root Growth</w:t>
            </w:r>
          </w:p>
        </w:tc>
      </w:tr>
      <w:tr w:rsidR="009B71AB" w14:paraId="6945305F" w14:textId="17AFC4FD" w:rsidTr="009B71AB">
        <w:trPr>
          <w:trHeight w:val="341"/>
        </w:trPr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  <w:shd w:val="clear" w:color="auto" w:fill="A8D08D" w:themeFill="accent6" w:themeFillTint="99"/>
            <w:vAlign w:val="center"/>
          </w:tcPr>
          <w:p w14:paraId="75A6C252" w14:textId="77777777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8D08D" w:themeFill="accent6" w:themeFillTint="99"/>
            <w:vAlign w:val="center"/>
          </w:tcPr>
          <w:p w14:paraId="3DCF3907" w14:textId="576F8C53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N</w:t>
            </w:r>
            <w:r>
              <w:rPr>
                <w:rFonts w:ascii="Segoe UI" w:hAnsi="Segoe UI" w:cs="Segoe UI"/>
                <w:sz w:val="16"/>
                <w:szCs w:val="16"/>
              </w:rPr>
              <w:t>ot compacted</w:t>
            </w:r>
          </w:p>
        </w:tc>
        <w:tc>
          <w:tcPr>
            <w:tcW w:w="2339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1979B529" w14:textId="5D80BEF6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&lt;0.50</w:t>
            </w:r>
          </w:p>
        </w:tc>
        <w:tc>
          <w:tcPr>
            <w:tcW w:w="2227" w:type="dxa"/>
            <w:tcBorders>
              <w:left w:val="single" w:sz="24" w:space="0" w:color="auto"/>
            </w:tcBorders>
            <w:shd w:val="clear" w:color="auto" w:fill="A8D08D" w:themeFill="accent6" w:themeFillTint="99"/>
            <w:vAlign w:val="center"/>
          </w:tcPr>
          <w:p w14:paraId="6D2792A0" w14:textId="18D50635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Loose</w:t>
            </w:r>
          </w:p>
        </w:tc>
        <w:tc>
          <w:tcPr>
            <w:tcW w:w="2891" w:type="dxa"/>
            <w:tcBorders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4A46E14E" w14:textId="38879E7E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Not affected</w:t>
            </w:r>
          </w:p>
        </w:tc>
      </w:tr>
      <w:tr w:rsidR="009B71AB" w14:paraId="3FCEDDB9" w14:textId="1A813D9F" w:rsidTr="009B71AB">
        <w:trPr>
          <w:trHeight w:val="349"/>
        </w:trPr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  <w:shd w:val="clear" w:color="auto" w:fill="A8D08D" w:themeFill="accent6" w:themeFillTint="99"/>
            <w:vAlign w:val="center"/>
          </w:tcPr>
          <w:p w14:paraId="1E5DA4A0" w14:textId="77777777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8D08D" w:themeFill="accent6" w:themeFillTint="99"/>
            <w:vAlign w:val="center"/>
          </w:tcPr>
          <w:p w14:paraId="084A8074" w14:textId="78ECB990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Mild</w:t>
            </w:r>
          </w:p>
        </w:tc>
        <w:tc>
          <w:tcPr>
            <w:tcW w:w="2339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09814820" w14:textId="2F2AC6CC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0.50 - 1.5</w:t>
            </w:r>
          </w:p>
        </w:tc>
        <w:tc>
          <w:tcPr>
            <w:tcW w:w="2227" w:type="dxa"/>
            <w:tcBorders>
              <w:left w:val="single" w:sz="24" w:space="0" w:color="auto"/>
            </w:tcBorders>
            <w:shd w:val="clear" w:color="auto" w:fill="A8D08D" w:themeFill="accent6" w:themeFillTint="99"/>
            <w:vAlign w:val="center"/>
          </w:tcPr>
          <w:p w14:paraId="3FB8975E" w14:textId="3F5BDF78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Medium</w:t>
            </w:r>
          </w:p>
        </w:tc>
        <w:tc>
          <w:tcPr>
            <w:tcW w:w="2891" w:type="dxa"/>
            <w:tcBorders>
              <w:right w:val="single" w:sz="24" w:space="0" w:color="auto"/>
            </w:tcBorders>
            <w:shd w:val="clear" w:color="auto" w:fill="A8D08D" w:themeFill="accent6" w:themeFillTint="99"/>
            <w:vAlign w:val="center"/>
          </w:tcPr>
          <w:p w14:paraId="69D1153F" w14:textId="2D7918CD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Root growth on some cereal plants in restricted</w:t>
            </w:r>
            <w:r w:rsidR="00D01F0F">
              <w:rPr>
                <w:rFonts w:ascii="Segoe UI" w:hAnsi="Segoe UI" w:cs="Segoe UI"/>
                <w:sz w:val="16"/>
                <w:szCs w:val="16"/>
              </w:rPr>
              <w:t>.</w:t>
            </w:r>
          </w:p>
        </w:tc>
      </w:tr>
      <w:tr w:rsidR="009B71AB" w14:paraId="2BDC5E76" w14:textId="1F236EA1" w:rsidTr="009B71AB">
        <w:trPr>
          <w:trHeight w:val="178"/>
        </w:trPr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19977F45" w14:textId="77777777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111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6DE12F12" w14:textId="2C97C8FE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Moderate</w:t>
            </w:r>
          </w:p>
        </w:tc>
        <w:tc>
          <w:tcPr>
            <w:tcW w:w="2339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FFE599" w:themeFill="accent4" w:themeFillTint="66"/>
            <w:vAlign w:val="center"/>
          </w:tcPr>
          <w:p w14:paraId="63FA3722" w14:textId="17195B60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1.50 - 2.50</w:t>
            </w:r>
          </w:p>
        </w:tc>
        <w:tc>
          <w:tcPr>
            <w:tcW w:w="2227" w:type="dxa"/>
            <w:tcBorders>
              <w:left w:val="single" w:sz="24" w:space="0" w:color="auto"/>
            </w:tcBorders>
            <w:shd w:val="clear" w:color="auto" w:fill="FFE599" w:themeFill="accent4" w:themeFillTint="66"/>
            <w:vAlign w:val="center"/>
          </w:tcPr>
          <w:p w14:paraId="1121EE9E" w14:textId="4298CB9F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Dense</w:t>
            </w:r>
          </w:p>
        </w:tc>
        <w:tc>
          <w:tcPr>
            <w:tcW w:w="2891" w:type="dxa"/>
            <w:tcBorders>
              <w:right w:val="single" w:sz="24" w:space="0" w:color="auto"/>
            </w:tcBorders>
            <w:shd w:val="clear" w:color="auto" w:fill="FFE599" w:themeFill="accent4" w:themeFillTint="66"/>
            <w:vAlign w:val="center"/>
          </w:tcPr>
          <w:p w14:paraId="715DD144" w14:textId="1134E2B3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Root growth on most plants starts to be restricted.</w:t>
            </w:r>
          </w:p>
        </w:tc>
      </w:tr>
      <w:tr w:rsidR="009B71AB" w14:paraId="61DDC15C" w14:textId="1DA0C6BF" w:rsidTr="009B71AB">
        <w:trPr>
          <w:trHeight w:val="65"/>
        </w:trPr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967D"/>
            <w:vAlign w:val="center"/>
          </w:tcPr>
          <w:p w14:paraId="2EA83364" w14:textId="77777777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111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967D"/>
            <w:vAlign w:val="center"/>
          </w:tcPr>
          <w:p w14:paraId="579F403D" w14:textId="56067F87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Severe</w:t>
            </w:r>
          </w:p>
        </w:tc>
        <w:tc>
          <w:tcPr>
            <w:tcW w:w="2339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FF967D"/>
            <w:vAlign w:val="center"/>
          </w:tcPr>
          <w:p w14:paraId="05C86018" w14:textId="42D32E7E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2.50 - 3.50</w:t>
            </w:r>
          </w:p>
        </w:tc>
        <w:tc>
          <w:tcPr>
            <w:tcW w:w="2227" w:type="dxa"/>
            <w:tcBorders>
              <w:left w:val="single" w:sz="24" w:space="0" w:color="auto"/>
            </w:tcBorders>
            <w:shd w:val="clear" w:color="auto" w:fill="FF967D"/>
            <w:vAlign w:val="center"/>
          </w:tcPr>
          <w:p w14:paraId="731B273F" w14:textId="7AC8621C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Very dense</w:t>
            </w:r>
          </w:p>
        </w:tc>
        <w:tc>
          <w:tcPr>
            <w:tcW w:w="2891" w:type="dxa"/>
            <w:tcBorders>
              <w:right w:val="single" w:sz="24" w:space="0" w:color="auto"/>
            </w:tcBorders>
            <w:shd w:val="clear" w:color="auto" w:fill="FF967D"/>
            <w:vAlign w:val="center"/>
          </w:tcPr>
          <w:p w14:paraId="4AF1DD59" w14:textId="19B93FF0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Root growth restricted to existing pores or weak planes</w:t>
            </w:r>
            <w:r w:rsidR="00D01F0F">
              <w:rPr>
                <w:rFonts w:ascii="Segoe UI" w:hAnsi="Segoe UI" w:cs="Segoe UI"/>
                <w:sz w:val="16"/>
                <w:szCs w:val="16"/>
              </w:rPr>
              <w:t>.</w:t>
            </w:r>
          </w:p>
        </w:tc>
      </w:tr>
      <w:tr w:rsidR="009B71AB" w14:paraId="5A55DDEF" w14:textId="4E91C43F" w:rsidTr="009B71AB">
        <w:trPr>
          <w:trHeight w:val="357"/>
        </w:trPr>
        <w:tc>
          <w:tcPr>
            <w:tcW w:w="1152" w:type="dxa"/>
            <w:tcBorders>
              <w:top w:val="single" w:sz="6" w:space="0" w:color="auto"/>
              <w:bottom w:val="single" w:sz="24" w:space="0" w:color="auto"/>
            </w:tcBorders>
            <w:shd w:val="clear" w:color="auto" w:fill="FF967D"/>
            <w:vAlign w:val="center"/>
          </w:tcPr>
          <w:p w14:paraId="6E0A077D" w14:textId="41BB0932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1116" w:type="dxa"/>
            <w:tcBorders>
              <w:top w:val="single" w:sz="6" w:space="0" w:color="auto"/>
              <w:bottom w:val="single" w:sz="24" w:space="0" w:color="auto"/>
            </w:tcBorders>
            <w:shd w:val="clear" w:color="auto" w:fill="FF967D"/>
            <w:vAlign w:val="center"/>
          </w:tcPr>
          <w:p w14:paraId="56B378E4" w14:textId="52575447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Extreme</w:t>
            </w:r>
          </w:p>
        </w:tc>
        <w:tc>
          <w:tcPr>
            <w:tcW w:w="2339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FF967D"/>
            <w:vAlign w:val="center"/>
          </w:tcPr>
          <w:p w14:paraId="11CE35FB" w14:textId="3AAB6F97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&gt;3.50</w:t>
            </w:r>
          </w:p>
        </w:tc>
        <w:tc>
          <w:tcPr>
            <w:tcW w:w="2227" w:type="dxa"/>
            <w:tcBorders>
              <w:left w:val="single" w:sz="24" w:space="0" w:color="auto"/>
            </w:tcBorders>
            <w:shd w:val="clear" w:color="auto" w:fill="FF967D"/>
            <w:vAlign w:val="center"/>
          </w:tcPr>
          <w:p w14:paraId="2EF9A37E" w14:textId="7468B3B8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Extremely dense</w:t>
            </w:r>
          </w:p>
        </w:tc>
        <w:tc>
          <w:tcPr>
            <w:tcW w:w="2891" w:type="dxa"/>
            <w:tcBorders>
              <w:right w:val="single" w:sz="24" w:space="0" w:color="auto"/>
            </w:tcBorders>
            <w:shd w:val="clear" w:color="auto" w:fill="FF967D"/>
            <w:vAlign w:val="center"/>
          </w:tcPr>
          <w:p w14:paraId="77DF218A" w14:textId="02E1997A" w:rsidR="009B71AB" w:rsidRPr="00D2735B" w:rsidRDefault="009B71AB" w:rsidP="009B71AB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D2735B">
              <w:rPr>
                <w:rFonts w:ascii="Segoe UI" w:hAnsi="Segoe UI" w:cs="Segoe UI"/>
                <w:sz w:val="16"/>
                <w:szCs w:val="16"/>
              </w:rPr>
              <w:t>Significant compaction present. Root growth virtually stops.</w:t>
            </w:r>
          </w:p>
        </w:tc>
      </w:tr>
    </w:tbl>
    <w:p w14:paraId="7EF9BF6B" w14:textId="77777777" w:rsidR="003E739F" w:rsidRPr="0000278D" w:rsidRDefault="003E739F" w:rsidP="003E739F">
      <w:pPr>
        <w:rPr>
          <w:rFonts w:ascii="Segoe UI" w:hAnsi="Segoe UI" w:cs="Segoe UI"/>
          <w:b/>
          <w:bCs/>
          <w:sz w:val="16"/>
          <w:szCs w:val="16"/>
        </w:rPr>
      </w:pPr>
      <w:r w:rsidRPr="0000278D">
        <w:rPr>
          <w:rFonts w:ascii="Segoe UI" w:hAnsi="Segoe UI" w:cs="Segoe UI"/>
          <w:b/>
          <w:bCs/>
          <w:sz w:val="16"/>
          <w:szCs w:val="16"/>
        </w:rPr>
        <w:t xml:space="preserve">For further information on </w:t>
      </w:r>
      <w:r>
        <w:rPr>
          <w:rFonts w:ascii="Segoe UI" w:hAnsi="Segoe UI" w:cs="Segoe UI"/>
          <w:b/>
          <w:bCs/>
          <w:sz w:val="16"/>
          <w:szCs w:val="16"/>
        </w:rPr>
        <w:t xml:space="preserve">compacted and hard setting soils, along with </w:t>
      </w:r>
      <w:r w:rsidRPr="0000278D">
        <w:rPr>
          <w:rFonts w:ascii="Segoe UI" w:hAnsi="Segoe UI" w:cs="Segoe UI"/>
          <w:b/>
          <w:bCs/>
          <w:sz w:val="16"/>
          <w:szCs w:val="16"/>
        </w:rPr>
        <w:t>how to test using a penetrometer</w:t>
      </w:r>
      <w:r>
        <w:rPr>
          <w:rFonts w:ascii="Segoe UI" w:hAnsi="Segoe UI" w:cs="Segoe UI"/>
          <w:b/>
          <w:bCs/>
          <w:sz w:val="16"/>
          <w:szCs w:val="16"/>
        </w:rPr>
        <w:t>,</w:t>
      </w:r>
      <w:r w:rsidRPr="0000278D">
        <w:rPr>
          <w:rFonts w:ascii="Segoe UI" w:hAnsi="Segoe UI" w:cs="Segoe UI"/>
          <w:b/>
          <w:bCs/>
          <w:sz w:val="16"/>
          <w:szCs w:val="16"/>
        </w:rPr>
        <w:t xml:space="preserve"> refer to the</w:t>
      </w:r>
      <w:r w:rsidRPr="0021443F">
        <w:rPr>
          <w:rFonts w:ascii="Segoe UI" w:hAnsi="Segoe UI" w:cs="Segoe UI"/>
          <w:b/>
          <w:bCs/>
          <w:sz w:val="16"/>
          <w:szCs w:val="16"/>
        </w:rPr>
        <w:t xml:space="preserve"> Soil Quality: 6 Soil Compaction e-book</w:t>
      </w:r>
      <w:r>
        <w:rPr>
          <w:rFonts w:ascii="Segoe UI" w:hAnsi="Segoe UI" w:cs="Segoe UI"/>
          <w:b/>
          <w:bCs/>
          <w:sz w:val="16"/>
          <w:szCs w:val="16"/>
          <w:vertAlign w:val="superscript"/>
        </w:rPr>
        <w:t>3</w:t>
      </w:r>
      <w:r>
        <w:rPr>
          <w:rFonts w:ascii="Segoe UI" w:hAnsi="Segoe UI" w:cs="Segoe UI"/>
          <w:b/>
          <w:bCs/>
          <w:sz w:val="16"/>
          <w:szCs w:val="16"/>
        </w:rPr>
        <w:t xml:space="preserve"> </w:t>
      </w:r>
      <w:hyperlink r:id="rId8" w:history="1">
        <w:r w:rsidRPr="0000278D">
          <w:rPr>
            <w:rStyle w:val="Hyperlink"/>
            <w:sz w:val="16"/>
            <w:szCs w:val="16"/>
          </w:rPr>
          <w:t>https://books.apple.com/au/book/soil-quality-6-soil-compaction/id1581017530</w:t>
        </w:r>
      </w:hyperlink>
    </w:p>
    <w:sectPr w:rsidR="003E739F" w:rsidRPr="0000278D" w:rsidSect="008C1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Tahoma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9A6"/>
    <w:multiLevelType w:val="hybridMultilevel"/>
    <w:tmpl w:val="6FF8F824"/>
    <w:lvl w:ilvl="0" w:tplc="1346A2C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417"/>
    <w:multiLevelType w:val="hybridMultilevel"/>
    <w:tmpl w:val="3BF6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B231F"/>
    <w:multiLevelType w:val="hybridMultilevel"/>
    <w:tmpl w:val="2DC6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B355F"/>
    <w:multiLevelType w:val="hybridMultilevel"/>
    <w:tmpl w:val="5448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610CF"/>
    <w:multiLevelType w:val="hybridMultilevel"/>
    <w:tmpl w:val="8F62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468B3"/>
    <w:multiLevelType w:val="hybridMultilevel"/>
    <w:tmpl w:val="CFB2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1692A"/>
    <w:multiLevelType w:val="hybridMultilevel"/>
    <w:tmpl w:val="EBAE067A"/>
    <w:lvl w:ilvl="0" w:tplc="BDEC96CA">
      <w:start w:val="1"/>
      <w:numFmt w:val="lowerLetter"/>
      <w:lvlText w:val="(%1)"/>
      <w:lvlJc w:val="left"/>
      <w:pPr>
        <w:ind w:left="1080" w:hanging="360"/>
      </w:pPr>
      <w:rPr>
        <w:rFonts w:ascii="Segoe Condensed" w:eastAsia="Calibri" w:hAnsi="Segoe Condensed" w:cs="Calibri Ligh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B4C62"/>
    <w:multiLevelType w:val="hybridMultilevel"/>
    <w:tmpl w:val="98022B66"/>
    <w:lvl w:ilvl="0" w:tplc="FD5A1958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A7335"/>
    <w:multiLevelType w:val="hybridMultilevel"/>
    <w:tmpl w:val="D694707E"/>
    <w:lvl w:ilvl="0" w:tplc="71880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F60DF"/>
    <w:multiLevelType w:val="hybridMultilevel"/>
    <w:tmpl w:val="6F849F68"/>
    <w:lvl w:ilvl="0" w:tplc="6FB85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C1270"/>
    <w:multiLevelType w:val="hybridMultilevel"/>
    <w:tmpl w:val="F04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75CC4"/>
    <w:multiLevelType w:val="hybridMultilevel"/>
    <w:tmpl w:val="A5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1511A"/>
    <w:multiLevelType w:val="hybridMultilevel"/>
    <w:tmpl w:val="26980EB0"/>
    <w:lvl w:ilvl="0" w:tplc="14682036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70CE8"/>
    <w:multiLevelType w:val="hybridMultilevel"/>
    <w:tmpl w:val="5B02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E7460"/>
    <w:multiLevelType w:val="hybridMultilevel"/>
    <w:tmpl w:val="32DECC12"/>
    <w:lvl w:ilvl="0" w:tplc="3FD05B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43EFF"/>
    <w:multiLevelType w:val="hybridMultilevel"/>
    <w:tmpl w:val="E5A6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1"/>
  </w:num>
  <w:num w:numId="12">
    <w:abstractNumId w:val="5"/>
  </w:num>
  <w:num w:numId="13">
    <w:abstractNumId w:val="15"/>
  </w:num>
  <w:num w:numId="14">
    <w:abstractNumId w:val="14"/>
  </w:num>
  <w:num w:numId="15">
    <w:abstractNumId w:val="8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4CE"/>
    <w:rsid w:val="0000278D"/>
    <w:rsid w:val="00002916"/>
    <w:rsid w:val="00006D0B"/>
    <w:rsid w:val="0001315E"/>
    <w:rsid w:val="0001686D"/>
    <w:rsid w:val="0002667F"/>
    <w:rsid w:val="000357DC"/>
    <w:rsid w:val="00035FDA"/>
    <w:rsid w:val="00036DAB"/>
    <w:rsid w:val="0005428A"/>
    <w:rsid w:val="000604B4"/>
    <w:rsid w:val="00067058"/>
    <w:rsid w:val="000703D6"/>
    <w:rsid w:val="00074AB3"/>
    <w:rsid w:val="0008405A"/>
    <w:rsid w:val="00085C32"/>
    <w:rsid w:val="000867F1"/>
    <w:rsid w:val="000917A5"/>
    <w:rsid w:val="00093C78"/>
    <w:rsid w:val="000A33EC"/>
    <w:rsid w:val="000A3C80"/>
    <w:rsid w:val="000B089A"/>
    <w:rsid w:val="000B0E8C"/>
    <w:rsid w:val="000B1B61"/>
    <w:rsid w:val="000C02A6"/>
    <w:rsid w:val="000C1BE5"/>
    <w:rsid w:val="000C43E1"/>
    <w:rsid w:val="000E3FFC"/>
    <w:rsid w:val="000E482C"/>
    <w:rsid w:val="000E533C"/>
    <w:rsid w:val="000F29A3"/>
    <w:rsid w:val="000F6BD4"/>
    <w:rsid w:val="00106A5C"/>
    <w:rsid w:val="00110995"/>
    <w:rsid w:val="001121C9"/>
    <w:rsid w:val="00115795"/>
    <w:rsid w:val="001254B4"/>
    <w:rsid w:val="00132E4F"/>
    <w:rsid w:val="00133385"/>
    <w:rsid w:val="001339D3"/>
    <w:rsid w:val="00140428"/>
    <w:rsid w:val="00151F16"/>
    <w:rsid w:val="001614DA"/>
    <w:rsid w:val="00174532"/>
    <w:rsid w:val="001927E3"/>
    <w:rsid w:val="001930C6"/>
    <w:rsid w:val="00193B74"/>
    <w:rsid w:val="001B4290"/>
    <w:rsid w:val="001C274E"/>
    <w:rsid w:val="001C3375"/>
    <w:rsid w:val="001E11DA"/>
    <w:rsid w:val="001F1073"/>
    <w:rsid w:val="001F153F"/>
    <w:rsid w:val="002007D3"/>
    <w:rsid w:val="00200F91"/>
    <w:rsid w:val="00206097"/>
    <w:rsid w:val="00211839"/>
    <w:rsid w:val="0021443F"/>
    <w:rsid w:val="00222B87"/>
    <w:rsid w:val="002342FC"/>
    <w:rsid w:val="00237189"/>
    <w:rsid w:val="00255C98"/>
    <w:rsid w:val="00257A72"/>
    <w:rsid w:val="00266EF5"/>
    <w:rsid w:val="002678D4"/>
    <w:rsid w:val="002919D6"/>
    <w:rsid w:val="00293756"/>
    <w:rsid w:val="002A15FB"/>
    <w:rsid w:val="002B1E19"/>
    <w:rsid w:val="002B3535"/>
    <w:rsid w:val="002B49ED"/>
    <w:rsid w:val="002C41E3"/>
    <w:rsid w:val="002E42FE"/>
    <w:rsid w:val="002F4E3B"/>
    <w:rsid w:val="00304132"/>
    <w:rsid w:val="00305C97"/>
    <w:rsid w:val="00314AFA"/>
    <w:rsid w:val="00314D0A"/>
    <w:rsid w:val="00315CC3"/>
    <w:rsid w:val="003165D1"/>
    <w:rsid w:val="0032260B"/>
    <w:rsid w:val="00331D15"/>
    <w:rsid w:val="00333F8B"/>
    <w:rsid w:val="00335879"/>
    <w:rsid w:val="00337677"/>
    <w:rsid w:val="003442DA"/>
    <w:rsid w:val="003447AF"/>
    <w:rsid w:val="003470C0"/>
    <w:rsid w:val="00351042"/>
    <w:rsid w:val="00357E75"/>
    <w:rsid w:val="003606BE"/>
    <w:rsid w:val="003608BD"/>
    <w:rsid w:val="003661AB"/>
    <w:rsid w:val="003A5DBB"/>
    <w:rsid w:val="003A7946"/>
    <w:rsid w:val="003B08A5"/>
    <w:rsid w:val="003B17E0"/>
    <w:rsid w:val="003B5FED"/>
    <w:rsid w:val="003B6C9A"/>
    <w:rsid w:val="003C6395"/>
    <w:rsid w:val="003E1BA1"/>
    <w:rsid w:val="003E739F"/>
    <w:rsid w:val="003F08DA"/>
    <w:rsid w:val="004059F4"/>
    <w:rsid w:val="00410419"/>
    <w:rsid w:val="00452A6F"/>
    <w:rsid w:val="00466E69"/>
    <w:rsid w:val="00476521"/>
    <w:rsid w:val="00491207"/>
    <w:rsid w:val="004A25CE"/>
    <w:rsid w:val="004A6D69"/>
    <w:rsid w:val="004A7166"/>
    <w:rsid w:val="004B2343"/>
    <w:rsid w:val="004B2FF6"/>
    <w:rsid w:val="004B771D"/>
    <w:rsid w:val="004B7DF3"/>
    <w:rsid w:val="004B7FAB"/>
    <w:rsid w:val="004C7495"/>
    <w:rsid w:val="004D4CA5"/>
    <w:rsid w:val="004E75FF"/>
    <w:rsid w:val="00503454"/>
    <w:rsid w:val="00512FF9"/>
    <w:rsid w:val="005145FD"/>
    <w:rsid w:val="00517287"/>
    <w:rsid w:val="00521603"/>
    <w:rsid w:val="0052400C"/>
    <w:rsid w:val="00526C88"/>
    <w:rsid w:val="0052778E"/>
    <w:rsid w:val="00530B68"/>
    <w:rsid w:val="00531D27"/>
    <w:rsid w:val="00536441"/>
    <w:rsid w:val="005414B1"/>
    <w:rsid w:val="00545F9E"/>
    <w:rsid w:val="0055277C"/>
    <w:rsid w:val="00554994"/>
    <w:rsid w:val="005636E0"/>
    <w:rsid w:val="00565FB5"/>
    <w:rsid w:val="005715E5"/>
    <w:rsid w:val="0058104D"/>
    <w:rsid w:val="005840A4"/>
    <w:rsid w:val="005A108F"/>
    <w:rsid w:val="005A1FF0"/>
    <w:rsid w:val="005A4017"/>
    <w:rsid w:val="005A6377"/>
    <w:rsid w:val="005C365E"/>
    <w:rsid w:val="005C6B8A"/>
    <w:rsid w:val="005D06E7"/>
    <w:rsid w:val="005D29D9"/>
    <w:rsid w:val="005D4112"/>
    <w:rsid w:val="005E3CAE"/>
    <w:rsid w:val="005E4E62"/>
    <w:rsid w:val="005E7BE2"/>
    <w:rsid w:val="005F2F05"/>
    <w:rsid w:val="005F2F45"/>
    <w:rsid w:val="00602FC5"/>
    <w:rsid w:val="00610A84"/>
    <w:rsid w:val="00610CEF"/>
    <w:rsid w:val="00615032"/>
    <w:rsid w:val="00621D52"/>
    <w:rsid w:val="006265AD"/>
    <w:rsid w:val="00627A73"/>
    <w:rsid w:val="0065000E"/>
    <w:rsid w:val="006503E9"/>
    <w:rsid w:val="00650FDE"/>
    <w:rsid w:val="00653D3F"/>
    <w:rsid w:val="00673963"/>
    <w:rsid w:val="0068056A"/>
    <w:rsid w:val="006A170A"/>
    <w:rsid w:val="006A2715"/>
    <w:rsid w:val="006A7004"/>
    <w:rsid w:val="006A7FA8"/>
    <w:rsid w:val="006B4BF5"/>
    <w:rsid w:val="006C30B0"/>
    <w:rsid w:val="006C7B62"/>
    <w:rsid w:val="006D2277"/>
    <w:rsid w:val="00700AEA"/>
    <w:rsid w:val="007044FF"/>
    <w:rsid w:val="00715422"/>
    <w:rsid w:val="00720C85"/>
    <w:rsid w:val="007377FC"/>
    <w:rsid w:val="007422CB"/>
    <w:rsid w:val="00745BB6"/>
    <w:rsid w:val="007635A8"/>
    <w:rsid w:val="007649F0"/>
    <w:rsid w:val="00765AF4"/>
    <w:rsid w:val="00770C3D"/>
    <w:rsid w:val="00770C6B"/>
    <w:rsid w:val="0077173E"/>
    <w:rsid w:val="007753FC"/>
    <w:rsid w:val="00775C14"/>
    <w:rsid w:val="0077713C"/>
    <w:rsid w:val="0078002B"/>
    <w:rsid w:val="00781D68"/>
    <w:rsid w:val="007858B9"/>
    <w:rsid w:val="00787AA0"/>
    <w:rsid w:val="00797CC9"/>
    <w:rsid w:val="007A0CA8"/>
    <w:rsid w:val="007A24CA"/>
    <w:rsid w:val="007A7DA8"/>
    <w:rsid w:val="007B5457"/>
    <w:rsid w:val="007B5720"/>
    <w:rsid w:val="007C6AF2"/>
    <w:rsid w:val="00800B1C"/>
    <w:rsid w:val="00810D1A"/>
    <w:rsid w:val="00811D42"/>
    <w:rsid w:val="00812FDB"/>
    <w:rsid w:val="0082572C"/>
    <w:rsid w:val="00835B2B"/>
    <w:rsid w:val="008443E3"/>
    <w:rsid w:val="00856C94"/>
    <w:rsid w:val="00861A71"/>
    <w:rsid w:val="00877621"/>
    <w:rsid w:val="00885E45"/>
    <w:rsid w:val="008913AA"/>
    <w:rsid w:val="0089447F"/>
    <w:rsid w:val="00896D35"/>
    <w:rsid w:val="00897978"/>
    <w:rsid w:val="008A0AF1"/>
    <w:rsid w:val="008A0C67"/>
    <w:rsid w:val="008B32F3"/>
    <w:rsid w:val="008B5982"/>
    <w:rsid w:val="008C1854"/>
    <w:rsid w:val="008C1E14"/>
    <w:rsid w:val="008C285E"/>
    <w:rsid w:val="008C2FB6"/>
    <w:rsid w:val="008C3657"/>
    <w:rsid w:val="008C4345"/>
    <w:rsid w:val="008D4C1E"/>
    <w:rsid w:val="008D58CA"/>
    <w:rsid w:val="008D5B1C"/>
    <w:rsid w:val="008F2787"/>
    <w:rsid w:val="008F59E0"/>
    <w:rsid w:val="008F6A2F"/>
    <w:rsid w:val="0090563C"/>
    <w:rsid w:val="009070E5"/>
    <w:rsid w:val="00907357"/>
    <w:rsid w:val="0091297E"/>
    <w:rsid w:val="00916B90"/>
    <w:rsid w:val="00923743"/>
    <w:rsid w:val="00926451"/>
    <w:rsid w:val="009334CD"/>
    <w:rsid w:val="009403D1"/>
    <w:rsid w:val="009423A5"/>
    <w:rsid w:val="00950C26"/>
    <w:rsid w:val="00955EF5"/>
    <w:rsid w:val="00960431"/>
    <w:rsid w:val="0096524B"/>
    <w:rsid w:val="00983690"/>
    <w:rsid w:val="00986DFD"/>
    <w:rsid w:val="00994A5F"/>
    <w:rsid w:val="00997E2A"/>
    <w:rsid w:val="009A4BCF"/>
    <w:rsid w:val="009B71AB"/>
    <w:rsid w:val="009C110D"/>
    <w:rsid w:val="009C1526"/>
    <w:rsid w:val="009D28C9"/>
    <w:rsid w:val="009D2B43"/>
    <w:rsid w:val="009D6494"/>
    <w:rsid w:val="009D7FA0"/>
    <w:rsid w:val="009E029C"/>
    <w:rsid w:val="009E2693"/>
    <w:rsid w:val="009E3223"/>
    <w:rsid w:val="009F222D"/>
    <w:rsid w:val="00A178F8"/>
    <w:rsid w:val="00A20BF6"/>
    <w:rsid w:val="00A2504B"/>
    <w:rsid w:val="00A32C25"/>
    <w:rsid w:val="00A34B64"/>
    <w:rsid w:val="00A4654D"/>
    <w:rsid w:val="00A51BF2"/>
    <w:rsid w:val="00A5278C"/>
    <w:rsid w:val="00A54978"/>
    <w:rsid w:val="00A61ECA"/>
    <w:rsid w:val="00A66C1E"/>
    <w:rsid w:val="00A70B14"/>
    <w:rsid w:val="00A86681"/>
    <w:rsid w:val="00A86954"/>
    <w:rsid w:val="00A86FC4"/>
    <w:rsid w:val="00A9141F"/>
    <w:rsid w:val="00A9669C"/>
    <w:rsid w:val="00AA6916"/>
    <w:rsid w:val="00AA6923"/>
    <w:rsid w:val="00AB0F41"/>
    <w:rsid w:val="00AC1C0A"/>
    <w:rsid w:val="00AC30E9"/>
    <w:rsid w:val="00AC4398"/>
    <w:rsid w:val="00AD1684"/>
    <w:rsid w:val="00AD2F03"/>
    <w:rsid w:val="00AD476C"/>
    <w:rsid w:val="00AD7537"/>
    <w:rsid w:val="00AD7A74"/>
    <w:rsid w:val="00AE0606"/>
    <w:rsid w:val="00AE349B"/>
    <w:rsid w:val="00AE6975"/>
    <w:rsid w:val="00B007F2"/>
    <w:rsid w:val="00B15F37"/>
    <w:rsid w:val="00B16E51"/>
    <w:rsid w:val="00B21727"/>
    <w:rsid w:val="00B261DA"/>
    <w:rsid w:val="00B35AD3"/>
    <w:rsid w:val="00B46548"/>
    <w:rsid w:val="00B6597F"/>
    <w:rsid w:val="00B709B0"/>
    <w:rsid w:val="00B72DC9"/>
    <w:rsid w:val="00B85B67"/>
    <w:rsid w:val="00B85DD4"/>
    <w:rsid w:val="00BA1953"/>
    <w:rsid w:val="00BA7CC6"/>
    <w:rsid w:val="00BC1B8F"/>
    <w:rsid w:val="00BD1422"/>
    <w:rsid w:val="00BD5B14"/>
    <w:rsid w:val="00BE35A6"/>
    <w:rsid w:val="00BF4214"/>
    <w:rsid w:val="00C01492"/>
    <w:rsid w:val="00C05981"/>
    <w:rsid w:val="00C11479"/>
    <w:rsid w:val="00C265A6"/>
    <w:rsid w:val="00C27DEB"/>
    <w:rsid w:val="00C3191D"/>
    <w:rsid w:val="00C35AEA"/>
    <w:rsid w:val="00C4170E"/>
    <w:rsid w:val="00C46C76"/>
    <w:rsid w:val="00C47AAF"/>
    <w:rsid w:val="00C57597"/>
    <w:rsid w:val="00C63F32"/>
    <w:rsid w:val="00C716BF"/>
    <w:rsid w:val="00C74062"/>
    <w:rsid w:val="00C8590B"/>
    <w:rsid w:val="00C908F4"/>
    <w:rsid w:val="00C90B4D"/>
    <w:rsid w:val="00C94468"/>
    <w:rsid w:val="00C976A6"/>
    <w:rsid w:val="00CA3BE7"/>
    <w:rsid w:val="00CB5ED8"/>
    <w:rsid w:val="00CC1AD2"/>
    <w:rsid w:val="00CC71FB"/>
    <w:rsid w:val="00CD255F"/>
    <w:rsid w:val="00CD2903"/>
    <w:rsid w:val="00CD2970"/>
    <w:rsid w:val="00CE466D"/>
    <w:rsid w:val="00CE7AEB"/>
    <w:rsid w:val="00CF0E89"/>
    <w:rsid w:val="00CF4500"/>
    <w:rsid w:val="00D0009B"/>
    <w:rsid w:val="00D01F0F"/>
    <w:rsid w:val="00D02A57"/>
    <w:rsid w:val="00D034CE"/>
    <w:rsid w:val="00D06876"/>
    <w:rsid w:val="00D104BB"/>
    <w:rsid w:val="00D1683E"/>
    <w:rsid w:val="00D21402"/>
    <w:rsid w:val="00D2284A"/>
    <w:rsid w:val="00D22C9D"/>
    <w:rsid w:val="00D26073"/>
    <w:rsid w:val="00D2735B"/>
    <w:rsid w:val="00D274E3"/>
    <w:rsid w:val="00D350AC"/>
    <w:rsid w:val="00D37712"/>
    <w:rsid w:val="00D54A8D"/>
    <w:rsid w:val="00D607D8"/>
    <w:rsid w:val="00D833A9"/>
    <w:rsid w:val="00D83469"/>
    <w:rsid w:val="00D93431"/>
    <w:rsid w:val="00D95A83"/>
    <w:rsid w:val="00DA09E5"/>
    <w:rsid w:val="00DA4463"/>
    <w:rsid w:val="00DA651E"/>
    <w:rsid w:val="00DB2A01"/>
    <w:rsid w:val="00DC09C7"/>
    <w:rsid w:val="00DC30A8"/>
    <w:rsid w:val="00DC3D3B"/>
    <w:rsid w:val="00DC490D"/>
    <w:rsid w:val="00DE5EB5"/>
    <w:rsid w:val="00E01213"/>
    <w:rsid w:val="00E022BC"/>
    <w:rsid w:val="00E2795F"/>
    <w:rsid w:val="00E35C26"/>
    <w:rsid w:val="00E36970"/>
    <w:rsid w:val="00E432F6"/>
    <w:rsid w:val="00E55813"/>
    <w:rsid w:val="00E72FF5"/>
    <w:rsid w:val="00E80902"/>
    <w:rsid w:val="00EA0A56"/>
    <w:rsid w:val="00EA37B8"/>
    <w:rsid w:val="00EA4DF9"/>
    <w:rsid w:val="00EB0A2B"/>
    <w:rsid w:val="00EB5643"/>
    <w:rsid w:val="00EC34E0"/>
    <w:rsid w:val="00ED6D30"/>
    <w:rsid w:val="00EE2F50"/>
    <w:rsid w:val="00F06D6D"/>
    <w:rsid w:val="00F07912"/>
    <w:rsid w:val="00F154D9"/>
    <w:rsid w:val="00F323CD"/>
    <w:rsid w:val="00F4077D"/>
    <w:rsid w:val="00F4085C"/>
    <w:rsid w:val="00F4640C"/>
    <w:rsid w:val="00F73D99"/>
    <w:rsid w:val="00F837B9"/>
    <w:rsid w:val="00F8637E"/>
    <w:rsid w:val="00F87D65"/>
    <w:rsid w:val="00F9101B"/>
    <w:rsid w:val="00F91E03"/>
    <w:rsid w:val="00F96CD2"/>
    <w:rsid w:val="00FA23DB"/>
    <w:rsid w:val="00FA4483"/>
    <w:rsid w:val="00FB0F44"/>
    <w:rsid w:val="00FB2043"/>
    <w:rsid w:val="00FB2381"/>
    <w:rsid w:val="00FB2B70"/>
    <w:rsid w:val="00FB3351"/>
    <w:rsid w:val="00FB352E"/>
    <w:rsid w:val="00FB4231"/>
    <w:rsid w:val="00FB5E00"/>
    <w:rsid w:val="00FB6566"/>
    <w:rsid w:val="00FD068B"/>
    <w:rsid w:val="00FD67FD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AF60"/>
  <w15:chartTrackingRefBased/>
  <w15:docId w15:val="{8FBFDCB8-BB46-4292-B4F6-172BA0B7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4CE"/>
    <w:pPr>
      <w:ind w:left="720"/>
      <w:contextualSpacing/>
    </w:pPr>
  </w:style>
  <w:style w:type="table" w:styleId="TableGrid">
    <w:name w:val="Table Grid"/>
    <w:basedOn w:val="TableNormal"/>
    <w:uiPriority w:val="39"/>
    <w:rsid w:val="00F8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63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63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63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3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39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5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35A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E269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500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22B87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31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0">
    <w:name w:val="pf0"/>
    <w:basedOn w:val="Normal"/>
    <w:rsid w:val="0056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636E0"/>
    <w:rPr>
      <w:rFonts w:ascii="Segoe UI" w:hAnsi="Segoe UI" w:cs="Segoe UI" w:hint="default"/>
      <w:b/>
      <w:bCs/>
      <w:sz w:val="18"/>
      <w:szCs w:val="18"/>
    </w:rPr>
  </w:style>
  <w:style w:type="paragraph" w:customStyle="1" w:styleId="Default">
    <w:name w:val="Default"/>
    <w:rsid w:val="00D2735B"/>
    <w:pPr>
      <w:autoSpaceDE w:val="0"/>
      <w:autoSpaceDN w:val="0"/>
      <w:adjustRightInd w:val="0"/>
      <w:spacing w:after="0" w:line="240" w:lineRule="auto"/>
    </w:pPr>
    <w:rPr>
      <w:rFonts w:ascii="Proxima Nova" w:hAnsi="Proxima Nova" w:cs="Proxima Nova"/>
      <w:color w:val="000000"/>
      <w:sz w:val="24"/>
      <w:szCs w:val="24"/>
    </w:rPr>
  </w:style>
  <w:style w:type="character" w:customStyle="1" w:styleId="A7">
    <w:name w:val="A7"/>
    <w:uiPriority w:val="99"/>
    <w:rsid w:val="00D2735B"/>
    <w:rPr>
      <w:rFonts w:cs="Proxima Nova"/>
      <w:b/>
      <w:bCs/>
      <w:color w:val="000000"/>
      <w:sz w:val="54"/>
      <w:szCs w:val="5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apple.com/au/book/soil-quality-6-soil-compaction/id158101753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9d19eff-0fed-49ac-92e1-d209d15f12dd">4DFSYEQKX7AQ-510518137-1222</_dlc_DocId>
    <_dlc_DocIdUrl xmlns="c9d19eff-0fed-49ac-92e1-d209d15f12dd">
      <Url>https://csiroau.sharepoint.com/sites/GRDC_CSP00203/_layouts/15/DocIdRedir.aspx?ID=4DFSYEQKX7AQ-510518137-1222</Url>
      <Description>4DFSYEQKX7AQ-510518137-1222</Description>
    </_dlc_DocIdUrl>
    <TaxCatchAll xmlns="c9d19eff-0fed-49ac-92e1-d209d15f12dd" xsi:nil="true"/>
    <lcf76f155ced4ddcb4097134ff3c332f xmlns="14797e16-e33f-459e-ba37-a6f1a957d2c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1F366AC8A9C4EA98BAC5DDE52095C" ma:contentTypeVersion="14" ma:contentTypeDescription="Create a new document." ma:contentTypeScope="" ma:versionID="c4ba829e3c9e640e73916f5f40286313">
  <xsd:schema xmlns:xsd="http://www.w3.org/2001/XMLSchema" xmlns:xs="http://www.w3.org/2001/XMLSchema" xmlns:p="http://schemas.microsoft.com/office/2006/metadata/properties" xmlns:ns2="c9d19eff-0fed-49ac-92e1-d209d15f12dd" xmlns:ns3="14797e16-e33f-459e-ba37-a6f1a957d2c7" targetNamespace="http://schemas.microsoft.com/office/2006/metadata/properties" ma:root="true" ma:fieldsID="bab11dbc031b2015f450bd65038f492d" ns2:_="" ns3:_="">
    <xsd:import namespace="c9d19eff-0fed-49ac-92e1-d209d15f12dd"/>
    <xsd:import namespace="14797e16-e33f-459e-ba37-a6f1a957d2c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19eff-0fed-49ac-92e1-d209d15f12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hidden="true" ma:list="{eac1ef1d-ab50-435d-bd20-947e723649f3}" ma:internalName="TaxCatchAll" ma:showField="CatchAllData" ma:web="c9d19eff-0fed-49ac-92e1-d209d15f12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97e16-e33f-459e-ba37-a6f1a957d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6124AB2-ED9B-4073-8038-F1DC07B6C1F1}">
  <ds:schemaRefs>
    <ds:schemaRef ds:uri="http://schemas.microsoft.com/office/2006/metadata/properties"/>
    <ds:schemaRef ds:uri="http://schemas.microsoft.com/office/infopath/2007/PartnerControls"/>
    <ds:schemaRef ds:uri="c7ae4399-54b1-45f6-b175-f448e5432743"/>
    <ds:schemaRef ds:uri="26a8a349-5432-463c-a4f4-2e073e6163cf"/>
  </ds:schemaRefs>
</ds:datastoreItem>
</file>

<file path=customXml/itemProps2.xml><?xml version="1.0" encoding="utf-8"?>
<ds:datastoreItem xmlns:ds="http://schemas.openxmlformats.org/officeDocument/2006/customXml" ds:itemID="{83087CF7-6330-42F9-8448-05A3A7D8D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309CC-08F4-45D5-A2E6-8FC94716C94F}"/>
</file>

<file path=customXml/itemProps4.xml><?xml version="1.0" encoding="utf-8"?>
<ds:datastoreItem xmlns:ds="http://schemas.openxmlformats.org/officeDocument/2006/customXml" ds:itemID="{77359BC9-4DEB-4F8A-92B6-9668E20140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Bartlett</dc:creator>
  <cp:keywords/>
  <dc:description/>
  <cp:lastModifiedBy>Melissa Fraser</cp:lastModifiedBy>
  <cp:revision>3</cp:revision>
  <dcterms:created xsi:type="dcterms:W3CDTF">2022-07-13T07:02:00Z</dcterms:created>
  <dcterms:modified xsi:type="dcterms:W3CDTF">2022-07-13T07:30:00Z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0x01010050B1F366AC8A9C4EA98BAC5DDE52095C</vt:lpwstr>
  </property>
  <property fmtid="{D5CDD505-2E9C-101B-9397-08002B2CF9AE}" pid="3" name="MediaServiceImageTags">
    <vt:lpwstr/>
  </property>
  <property fmtid="{D5CDD505-2E9C-101B-9397-08002B2CF9AE}" pid="4" name="_dlc_DocIdItemGuid">
    <vt:lpwstr>09e194a2-7a5f-4a77-b807-c2c8b3a80ecc</vt:lpwstr>
  </property>
</Properties>
</file>