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E999" w14:textId="59DA02A3" w:rsidR="00952543" w:rsidRPr="006C115B" w:rsidRDefault="00952543" w:rsidP="00952543">
      <w:pPr>
        <w:jc w:val="center"/>
        <w:rPr>
          <w:rFonts w:ascii="Segoe UI" w:hAnsi="Segoe UI" w:cs="Segoe UI"/>
          <w:b/>
          <w:bCs/>
          <w:sz w:val="28"/>
          <w:szCs w:val="28"/>
          <w:lang w:val="en-AU"/>
        </w:rPr>
      </w:pPr>
      <w:r w:rsidRPr="006C115B">
        <w:rPr>
          <w:rFonts w:ascii="Segoe UI" w:hAnsi="Segoe UI" w:cs="Segoe UI"/>
          <w:b/>
          <w:bCs/>
          <w:sz w:val="28"/>
          <w:szCs w:val="28"/>
          <w:lang w:val="en-AU"/>
        </w:rPr>
        <w:t>Diagnosing nutritional constraints in sandy soils</w:t>
      </w:r>
    </w:p>
    <w:p w14:paraId="00757A17" w14:textId="77777777" w:rsidR="00952543" w:rsidRPr="006C115B" w:rsidRDefault="00952543" w:rsidP="00952543">
      <w:pPr>
        <w:rPr>
          <w:rFonts w:ascii="Segoe UI" w:hAnsi="Segoe UI" w:cs="Segoe UI"/>
          <w:b/>
          <w:bCs/>
          <w:sz w:val="24"/>
          <w:szCs w:val="24"/>
          <w:lang w:val="en-AU"/>
        </w:rPr>
      </w:pPr>
      <w:r w:rsidRPr="006C115B">
        <w:rPr>
          <w:rFonts w:ascii="Segoe UI" w:hAnsi="Segoe UI" w:cs="Segoe UI"/>
          <w:b/>
          <w:bCs/>
          <w:sz w:val="24"/>
          <w:szCs w:val="24"/>
          <w:lang w:val="en-AU"/>
        </w:rPr>
        <w:t>TAKEAWAYS</w:t>
      </w:r>
    </w:p>
    <w:p w14:paraId="35D97955" w14:textId="77777777" w:rsidR="00952543" w:rsidRPr="006C115B" w:rsidRDefault="00952543" w:rsidP="00952543">
      <w:pPr>
        <w:pStyle w:val="ListParagraph"/>
        <w:numPr>
          <w:ilvl w:val="0"/>
          <w:numId w:val="1"/>
        </w:numPr>
        <w:rPr>
          <w:rFonts w:ascii="Segoe UI" w:hAnsi="Segoe UI" w:cs="Segoe UI"/>
          <w:b/>
          <w:bCs/>
          <w:sz w:val="18"/>
          <w:szCs w:val="18"/>
          <w:lang w:val="en-AU"/>
        </w:rPr>
      </w:pPr>
      <w:r w:rsidRPr="006C115B">
        <w:rPr>
          <w:rFonts w:ascii="Segoe UI" w:hAnsi="Segoe UI" w:cs="Segoe UI"/>
          <w:b/>
          <w:bCs/>
          <w:sz w:val="18"/>
          <w:szCs w:val="18"/>
          <w:lang w:val="en-AU"/>
        </w:rPr>
        <w:t>Nutrient supply is a common and important limitation to crop production in sandy soils.</w:t>
      </w:r>
    </w:p>
    <w:p w14:paraId="73107576" w14:textId="77777777" w:rsidR="00952543" w:rsidRPr="006C115B" w:rsidRDefault="00952543" w:rsidP="00952543">
      <w:pPr>
        <w:pStyle w:val="ListParagraph"/>
        <w:numPr>
          <w:ilvl w:val="0"/>
          <w:numId w:val="1"/>
        </w:numPr>
        <w:rPr>
          <w:rFonts w:ascii="Segoe UI" w:hAnsi="Segoe UI" w:cs="Segoe UI"/>
          <w:b/>
          <w:bCs/>
          <w:sz w:val="18"/>
          <w:szCs w:val="18"/>
          <w:lang w:val="en-AU"/>
        </w:rPr>
      </w:pPr>
      <w:r w:rsidRPr="006C115B">
        <w:rPr>
          <w:rFonts w:ascii="Segoe UI" w:hAnsi="Segoe UI" w:cs="Segoe UI"/>
          <w:b/>
          <w:bCs/>
          <w:sz w:val="18"/>
          <w:szCs w:val="18"/>
          <w:lang w:val="en-AU"/>
        </w:rPr>
        <w:t>Understanding the extent and severity of nutrient constraints is the first step in working out which nutrients need to be added.</w:t>
      </w:r>
    </w:p>
    <w:p w14:paraId="5FE1B2FC" w14:textId="77777777" w:rsidR="00952543" w:rsidRPr="006C115B" w:rsidRDefault="00952543" w:rsidP="00387651">
      <w:pPr>
        <w:spacing w:after="0"/>
        <w:rPr>
          <w:rFonts w:ascii="Segoe UI" w:hAnsi="Segoe UI" w:cs="Segoe UI"/>
          <w:b/>
          <w:bCs/>
          <w:sz w:val="24"/>
          <w:szCs w:val="24"/>
          <w:lang w:val="en-AU"/>
        </w:rPr>
      </w:pPr>
      <w:r w:rsidRPr="006C115B">
        <w:rPr>
          <w:rFonts w:ascii="Segoe UI" w:hAnsi="Segoe UI" w:cs="Segoe UI"/>
          <w:b/>
          <w:bCs/>
          <w:sz w:val="24"/>
          <w:szCs w:val="24"/>
          <w:lang w:val="en-AU"/>
        </w:rPr>
        <w:t>THE ROLE OF NUTRITION FOR CROPS ON SANDY SOILS</w:t>
      </w:r>
    </w:p>
    <w:p w14:paraId="17DAEAC4" w14:textId="0036652E" w:rsidR="00952543" w:rsidRPr="006C115B" w:rsidRDefault="00952543" w:rsidP="00952543">
      <w:pPr>
        <w:rPr>
          <w:rFonts w:ascii="Segoe UI" w:hAnsi="Segoe UI" w:cs="Segoe UI"/>
          <w:sz w:val="18"/>
          <w:szCs w:val="18"/>
          <w:lang w:val="en-AU"/>
        </w:rPr>
      </w:pPr>
      <w:r w:rsidRPr="006C115B">
        <w:rPr>
          <w:rFonts w:ascii="Segoe UI" w:hAnsi="Segoe UI" w:cs="Segoe UI"/>
          <w:sz w:val="18"/>
          <w:szCs w:val="18"/>
          <w:lang w:val="en-AU"/>
        </w:rPr>
        <w:t>Sandy soils are often nutrient deficient or infertile because they are highly weathered soils which are low in carbon and have a poor ability to retain and cycle nutrients. The realisation of the crop yield potential generated by amelioration of sands relies on adequate crop nutrition to feed the new yield potential.</w:t>
      </w:r>
      <w:r w:rsidR="006E6BF9">
        <w:rPr>
          <w:rFonts w:ascii="Segoe UI" w:hAnsi="Segoe UI" w:cs="Segoe UI"/>
          <w:sz w:val="18"/>
          <w:szCs w:val="18"/>
          <w:lang w:val="en-AU"/>
        </w:rPr>
        <w:t xml:space="preserve"> There are some key considerations when assessing nutrient status:</w:t>
      </w:r>
    </w:p>
    <w:p w14:paraId="3B744CFE" w14:textId="18262E7E" w:rsidR="00A7407C" w:rsidRPr="00A7407C" w:rsidRDefault="006E6BF9" w:rsidP="00A7407C">
      <w:pPr>
        <w:pStyle w:val="ListParagraph"/>
        <w:numPr>
          <w:ilvl w:val="0"/>
          <w:numId w:val="5"/>
        </w:numPr>
        <w:spacing w:after="0"/>
        <w:rPr>
          <w:rFonts w:ascii="Segoe UI" w:hAnsi="Segoe UI" w:cs="Segoe UI"/>
          <w:sz w:val="18"/>
          <w:szCs w:val="18"/>
          <w:lang w:val="en-AU"/>
        </w:rPr>
      </w:pPr>
      <w:r w:rsidRPr="00A7407C">
        <w:rPr>
          <w:rFonts w:ascii="Segoe UI" w:hAnsi="Segoe UI" w:cs="Segoe UI"/>
          <w:b/>
          <w:bCs/>
          <w:lang w:val="en-AU"/>
        </w:rPr>
        <w:t>WHAT ARE THE LIMITING NUTRIENTS?</w:t>
      </w:r>
      <w:r w:rsidRPr="00A7407C">
        <w:rPr>
          <w:rFonts w:ascii="Segoe UI" w:hAnsi="Segoe UI" w:cs="Segoe UI"/>
          <w:lang w:val="en-AU"/>
        </w:rPr>
        <w:t xml:space="preserve"> </w:t>
      </w:r>
      <w:r w:rsidRPr="00A7407C">
        <w:rPr>
          <w:rFonts w:ascii="Segoe UI" w:hAnsi="Segoe UI" w:cs="Segoe UI"/>
          <w:sz w:val="18"/>
          <w:szCs w:val="18"/>
          <w:lang w:val="en-AU"/>
        </w:rPr>
        <w:t>The most common limiting nutrient in sandy soils is nitrogen (N) but there can also be deficiencies of phosphorus (P), potassium (K), sulfur (S), zinc (Zn), copper (Cu), manganese (Mn) and molybdenum (Mo). The methods available to identify which nutrients are limiting include soil and plant testing and in-crop test strips where fertilisers containing target nutrients are applied to check which nutrients the crop will respond to.</w:t>
      </w:r>
    </w:p>
    <w:p w14:paraId="73AAF02B" w14:textId="1A59068B" w:rsidR="006E6BF9" w:rsidRPr="00A7407C" w:rsidRDefault="00952543" w:rsidP="00A7407C">
      <w:pPr>
        <w:pStyle w:val="ListParagraph"/>
        <w:numPr>
          <w:ilvl w:val="0"/>
          <w:numId w:val="5"/>
        </w:numPr>
        <w:spacing w:after="0"/>
        <w:rPr>
          <w:rFonts w:ascii="Segoe UI" w:hAnsi="Segoe UI" w:cs="Segoe UI"/>
          <w:sz w:val="18"/>
          <w:szCs w:val="18"/>
          <w:lang w:val="en-AU"/>
        </w:rPr>
      </w:pPr>
      <w:r w:rsidRPr="00A7407C">
        <w:rPr>
          <w:rFonts w:ascii="Segoe UI" w:hAnsi="Segoe UI" w:cs="Segoe UI"/>
          <w:b/>
          <w:bCs/>
          <w:lang w:val="en-AU"/>
        </w:rPr>
        <w:t>WHERE DO THE CONSTRAINTS EXIST ACROSS THE PADDOCK?</w:t>
      </w:r>
      <w:r w:rsidR="008B05D4">
        <w:rPr>
          <w:rFonts w:ascii="Segoe UI" w:hAnsi="Segoe UI" w:cs="Segoe UI"/>
          <w:sz w:val="24"/>
          <w:szCs w:val="24"/>
          <w:lang w:val="en-AU"/>
        </w:rPr>
        <w:t xml:space="preserve"> </w:t>
      </w:r>
      <w:r w:rsidRPr="00A7407C">
        <w:rPr>
          <w:rFonts w:ascii="Segoe UI" w:hAnsi="Segoe UI" w:cs="Segoe UI"/>
          <w:sz w:val="18"/>
          <w:szCs w:val="18"/>
          <w:lang w:val="en-AU"/>
        </w:rPr>
        <w:t>How do constraints differ in paddocks between the soil types (</w:t>
      </w:r>
      <w:r w:rsidR="006C115B" w:rsidRPr="00A7407C">
        <w:rPr>
          <w:rFonts w:ascii="Segoe UI" w:hAnsi="Segoe UI" w:cs="Segoe UI"/>
          <w:sz w:val="18"/>
          <w:szCs w:val="18"/>
          <w:lang w:val="en-AU"/>
        </w:rPr>
        <w:t>e.g.,</w:t>
      </w:r>
      <w:r w:rsidRPr="00A7407C">
        <w:rPr>
          <w:rFonts w:ascii="Segoe UI" w:hAnsi="Segoe UI" w:cs="Segoe UI"/>
          <w:sz w:val="18"/>
          <w:szCs w:val="18"/>
          <w:lang w:val="en-AU"/>
        </w:rPr>
        <w:t xml:space="preserve"> dunes, mid-</w:t>
      </w:r>
      <w:proofErr w:type="gramStart"/>
      <w:r w:rsidRPr="00A7407C">
        <w:rPr>
          <w:rFonts w:ascii="Segoe UI" w:hAnsi="Segoe UI" w:cs="Segoe UI"/>
          <w:sz w:val="18"/>
          <w:szCs w:val="18"/>
          <w:lang w:val="en-AU"/>
        </w:rPr>
        <w:t>slopes</w:t>
      </w:r>
      <w:proofErr w:type="gramEnd"/>
      <w:r w:rsidRPr="00A7407C">
        <w:rPr>
          <w:rFonts w:ascii="Segoe UI" w:hAnsi="Segoe UI" w:cs="Segoe UI"/>
          <w:sz w:val="18"/>
          <w:szCs w:val="18"/>
          <w:lang w:val="en-AU"/>
        </w:rPr>
        <w:t xml:space="preserve"> and flats) or production zones?</w:t>
      </w:r>
      <w:r w:rsidR="006E6BF9" w:rsidRPr="00A7407C">
        <w:rPr>
          <w:rFonts w:ascii="Segoe UI" w:hAnsi="Segoe UI" w:cs="Segoe UI"/>
          <w:sz w:val="18"/>
          <w:szCs w:val="18"/>
          <w:lang w:val="en-AU"/>
        </w:rPr>
        <w:t xml:space="preserve"> Collect soil samples from strategic diagnostic zones for the 0-10 cm layer depth and send to an accredited laboratory for analysis. </w:t>
      </w:r>
    </w:p>
    <w:p w14:paraId="40CC60AE" w14:textId="57B1B59B" w:rsidR="00952543" w:rsidRPr="006E6BF9" w:rsidRDefault="00952543" w:rsidP="00A7407C">
      <w:pPr>
        <w:pStyle w:val="pf0"/>
        <w:numPr>
          <w:ilvl w:val="0"/>
          <w:numId w:val="5"/>
        </w:numPr>
        <w:spacing w:before="0" w:beforeAutospacing="0" w:after="160" w:afterAutospacing="0" w:line="259" w:lineRule="auto"/>
        <w:contextualSpacing/>
        <w:rPr>
          <w:rFonts w:ascii="Segoe UI" w:eastAsiaTheme="minorHAnsi" w:hAnsi="Segoe UI" w:cs="Segoe UI"/>
          <w:sz w:val="18"/>
          <w:szCs w:val="18"/>
          <w:lang w:val="en-AU"/>
        </w:rPr>
      </w:pPr>
      <w:r w:rsidRPr="006C115B">
        <w:rPr>
          <w:rFonts w:ascii="Segoe UI" w:hAnsi="Segoe UI" w:cs="Segoe UI"/>
          <w:b/>
          <w:bCs/>
          <w:sz w:val="22"/>
          <w:szCs w:val="22"/>
          <w:lang w:val="en-AU"/>
        </w:rPr>
        <w:t>HOW SEVERE IS THE CONSTRAINT?</w:t>
      </w:r>
      <w:r w:rsidRPr="006C115B">
        <w:rPr>
          <w:rFonts w:ascii="Segoe UI" w:hAnsi="Segoe UI" w:cs="Segoe UI"/>
          <w:lang w:val="en-AU"/>
        </w:rPr>
        <w:t xml:space="preserve"> </w:t>
      </w:r>
      <w:r w:rsidRPr="006C115B">
        <w:rPr>
          <w:rFonts w:ascii="Segoe UI" w:hAnsi="Segoe UI" w:cs="Segoe UI"/>
          <w:sz w:val="18"/>
          <w:szCs w:val="18"/>
          <w:lang w:val="en-AU"/>
        </w:rPr>
        <w:t>Is the constraint marginal or deficient and therefore production limiting? See Table 1 for a generalised guide of soil test thresholds</w:t>
      </w:r>
      <w:r w:rsidR="006C115B">
        <w:rPr>
          <w:rFonts w:ascii="Segoe UI" w:hAnsi="Segoe UI" w:cs="Segoe UI"/>
          <w:sz w:val="18"/>
          <w:szCs w:val="18"/>
          <w:lang w:val="en-AU"/>
        </w:rPr>
        <w:t xml:space="preserve"> for sandy soils</w:t>
      </w:r>
      <w:r w:rsidRPr="006C115B">
        <w:rPr>
          <w:rFonts w:ascii="Segoe UI" w:hAnsi="Segoe UI" w:cs="Segoe UI"/>
          <w:sz w:val="18"/>
          <w:szCs w:val="18"/>
          <w:lang w:val="en-AU"/>
        </w:rPr>
        <w:t xml:space="preserve">. </w:t>
      </w:r>
      <w:bookmarkStart w:id="0" w:name="_Hlk108621409"/>
      <w:r w:rsidR="006C115B" w:rsidRPr="006E6BF9">
        <w:rPr>
          <w:rFonts w:ascii="Segoe UI" w:hAnsi="Segoe UI" w:cs="Segoe UI"/>
          <w:sz w:val="18"/>
          <w:szCs w:val="18"/>
          <w:lang w:val="en-AU"/>
        </w:rPr>
        <w:t>Use the</w:t>
      </w:r>
      <w:r w:rsidR="006E6BF9">
        <w:rPr>
          <w:rFonts w:ascii="Segoe UI" w:hAnsi="Segoe UI" w:cs="Segoe UI"/>
          <w:sz w:val="18"/>
          <w:szCs w:val="18"/>
          <w:lang w:val="en-AU"/>
        </w:rPr>
        <w:t>se</w:t>
      </w:r>
      <w:r w:rsidR="006C115B" w:rsidRPr="006E6BF9">
        <w:rPr>
          <w:rFonts w:ascii="Segoe UI" w:hAnsi="Segoe UI" w:cs="Segoe UI"/>
          <w:sz w:val="18"/>
          <w:szCs w:val="18"/>
          <w:lang w:val="en-AU"/>
        </w:rPr>
        <w:t xml:space="preserve"> diagnostic criteria</w:t>
      </w:r>
      <w:r w:rsidR="006E6BF9">
        <w:rPr>
          <w:rFonts w:ascii="Segoe UI" w:hAnsi="Segoe UI" w:cs="Segoe UI"/>
          <w:sz w:val="18"/>
          <w:szCs w:val="18"/>
          <w:lang w:val="en-AU"/>
        </w:rPr>
        <w:t xml:space="preserve"> </w:t>
      </w:r>
      <w:r w:rsidR="006C115B" w:rsidRPr="006E6BF9">
        <w:rPr>
          <w:rFonts w:ascii="Segoe UI" w:hAnsi="Segoe UI" w:cs="Segoe UI"/>
          <w:sz w:val="18"/>
          <w:szCs w:val="18"/>
          <w:lang w:val="en-AU"/>
        </w:rPr>
        <w:t>to assess the severity of nutritional constraints</w:t>
      </w:r>
      <w:r w:rsidR="006E6BF9">
        <w:rPr>
          <w:rFonts w:ascii="Segoe UI" w:hAnsi="Segoe UI" w:cs="Segoe UI"/>
          <w:sz w:val="18"/>
          <w:szCs w:val="18"/>
          <w:lang w:val="en-AU"/>
        </w:rPr>
        <w:t xml:space="preserve"> </w:t>
      </w:r>
      <w:r w:rsidR="006C115B" w:rsidRPr="006E6BF9">
        <w:rPr>
          <w:rFonts w:ascii="Segoe UI" w:hAnsi="Segoe UI" w:cs="Segoe UI"/>
          <w:sz w:val="18"/>
          <w:szCs w:val="18"/>
          <w:lang w:val="en-AU"/>
        </w:rPr>
        <w:t xml:space="preserve">and assign a Sandbox Rank for each paddock </w:t>
      </w:r>
      <w:r w:rsidR="006E6BF9">
        <w:rPr>
          <w:rFonts w:ascii="Segoe UI" w:hAnsi="Segoe UI" w:cs="Segoe UI"/>
          <w:sz w:val="18"/>
          <w:szCs w:val="18"/>
          <w:lang w:val="en-AU"/>
        </w:rPr>
        <w:t xml:space="preserve">diagnostic </w:t>
      </w:r>
      <w:r w:rsidR="006C115B" w:rsidRPr="006E6BF9">
        <w:rPr>
          <w:rFonts w:ascii="Segoe UI" w:hAnsi="Segoe UI" w:cs="Segoe UI"/>
          <w:sz w:val="18"/>
          <w:szCs w:val="18"/>
          <w:lang w:val="en-AU"/>
        </w:rPr>
        <w:t>zone</w:t>
      </w:r>
      <w:bookmarkEnd w:id="0"/>
      <w:r w:rsidR="006C115B" w:rsidRPr="006E6BF9">
        <w:rPr>
          <w:rFonts w:ascii="Segoe UI" w:hAnsi="Segoe UI" w:cs="Segoe UI"/>
          <w:sz w:val="18"/>
          <w:szCs w:val="18"/>
          <w:lang w:val="en-AU"/>
        </w:rPr>
        <w:t>.</w:t>
      </w:r>
    </w:p>
    <w:tbl>
      <w:tblPr>
        <w:tblStyle w:val="TableGrid"/>
        <w:tblW w:w="9219"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4A0" w:firstRow="1" w:lastRow="0" w:firstColumn="1" w:lastColumn="0" w:noHBand="0" w:noVBand="1"/>
      </w:tblPr>
      <w:tblGrid>
        <w:gridCol w:w="1560"/>
        <w:gridCol w:w="1559"/>
        <w:gridCol w:w="6100"/>
      </w:tblGrid>
      <w:tr w:rsidR="00387651" w:rsidRPr="006C115B" w14:paraId="76AA2F8D" w14:textId="77777777" w:rsidTr="00CF1D47">
        <w:trPr>
          <w:trHeight w:val="144"/>
        </w:trPr>
        <w:tc>
          <w:tcPr>
            <w:tcW w:w="9219" w:type="dxa"/>
            <w:gridSpan w:val="3"/>
            <w:tcBorders>
              <w:top w:val="nil"/>
              <w:left w:val="nil"/>
              <w:bottom w:val="single" w:sz="24" w:space="0" w:color="auto"/>
              <w:right w:val="nil"/>
            </w:tcBorders>
            <w:vAlign w:val="center"/>
          </w:tcPr>
          <w:p w14:paraId="1AB04094" w14:textId="06C876F5" w:rsidR="00387651" w:rsidRPr="006C115B" w:rsidRDefault="00387651" w:rsidP="00387651">
            <w:pPr>
              <w:rPr>
                <w:rFonts w:ascii="Segoe UI" w:hAnsi="Segoe UI" w:cs="Segoe UI"/>
                <w:b/>
                <w:bCs/>
                <w:sz w:val="18"/>
                <w:szCs w:val="18"/>
                <w:lang w:val="en-AU"/>
              </w:rPr>
            </w:pPr>
            <w:r w:rsidRPr="006C115B">
              <w:rPr>
                <w:rFonts w:ascii="Segoe UI" w:hAnsi="Segoe UI" w:cs="Segoe UI"/>
                <w:b/>
                <w:bCs/>
                <w:sz w:val="18"/>
                <w:szCs w:val="18"/>
                <w:lang w:val="en-AU"/>
              </w:rPr>
              <w:t>Table 1.</w:t>
            </w:r>
            <w:r w:rsidR="00CF1D47">
              <w:rPr>
                <w:rFonts w:ascii="Segoe UI" w:hAnsi="Segoe UI" w:cs="Segoe UI"/>
                <w:b/>
                <w:bCs/>
                <w:sz w:val="18"/>
                <w:szCs w:val="18"/>
                <w:lang w:val="en-AU"/>
              </w:rPr>
              <w:t xml:space="preserve"> </w:t>
            </w:r>
            <w:r w:rsidRPr="00CF1D47">
              <w:rPr>
                <w:rFonts w:ascii="Segoe UI" w:hAnsi="Segoe UI" w:cs="Segoe UI"/>
                <w:b/>
                <w:bCs/>
                <w:sz w:val="18"/>
                <w:szCs w:val="18"/>
                <w:lang w:val="en-AU"/>
              </w:rPr>
              <w:t>Severity of nutrient limitations</w:t>
            </w:r>
            <w:r w:rsidRPr="006C115B">
              <w:rPr>
                <w:rFonts w:ascii="Segoe UI" w:hAnsi="Segoe UI" w:cs="Segoe UI"/>
                <w:sz w:val="18"/>
                <w:szCs w:val="18"/>
                <w:lang w:val="en-AU"/>
              </w:rPr>
              <w:t xml:space="preserve"> based on critical values for laboratory soil tests for nitrogen, phosphorus, sulfur, potassium, </w:t>
            </w:r>
            <w:proofErr w:type="gramStart"/>
            <w:r w:rsidRPr="006C115B">
              <w:rPr>
                <w:rFonts w:ascii="Segoe UI" w:hAnsi="Segoe UI" w:cs="Segoe UI"/>
                <w:sz w:val="18"/>
                <w:szCs w:val="18"/>
                <w:lang w:val="en-AU"/>
              </w:rPr>
              <w:t>zinc</w:t>
            </w:r>
            <w:proofErr w:type="gramEnd"/>
            <w:r w:rsidRPr="006C115B">
              <w:rPr>
                <w:rFonts w:ascii="Segoe UI" w:hAnsi="Segoe UI" w:cs="Segoe UI"/>
                <w:sz w:val="18"/>
                <w:szCs w:val="18"/>
                <w:lang w:val="en-AU"/>
              </w:rPr>
              <w:t xml:space="preserve"> and copper. </w:t>
            </w:r>
          </w:p>
        </w:tc>
      </w:tr>
      <w:tr w:rsidR="00952543" w:rsidRPr="006C115B" w14:paraId="57A12645" w14:textId="77777777" w:rsidTr="00EF598B">
        <w:trPr>
          <w:trHeight w:val="144"/>
        </w:trPr>
        <w:tc>
          <w:tcPr>
            <w:tcW w:w="1560" w:type="dxa"/>
            <w:tcBorders>
              <w:top w:val="single" w:sz="24" w:space="0" w:color="auto"/>
            </w:tcBorders>
            <w:vAlign w:val="center"/>
          </w:tcPr>
          <w:p w14:paraId="7BA5DB5C" w14:textId="77777777" w:rsidR="00952543" w:rsidRPr="006C115B" w:rsidRDefault="00952543" w:rsidP="00697B98">
            <w:pPr>
              <w:jc w:val="center"/>
              <w:rPr>
                <w:rFonts w:ascii="Segoe UI" w:hAnsi="Segoe UI" w:cs="Segoe UI"/>
                <w:b/>
                <w:bCs/>
                <w:sz w:val="18"/>
                <w:szCs w:val="18"/>
                <w:lang w:val="en-AU"/>
              </w:rPr>
            </w:pPr>
            <w:r w:rsidRPr="006C115B">
              <w:rPr>
                <w:rFonts w:ascii="Segoe UI" w:hAnsi="Segoe UI" w:cs="Segoe UI"/>
                <w:b/>
                <w:bCs/>
                <w:sz w:val="18"/>
                <w:szCs w:val="18"/>
                <w:lang w:val="en-AU"/>
              </w:rPr>
              <w:t>Sandbox Rank</w:t>
            </w:r>
          </w:p>
        </w:tc>
        <w:tc>
          <w:tcPr>
            <w:tcW w:w="7659" w:type="dxa"/>
            <w:gridSpan w:val="2"/>
            <w:tcBorders>
              <w:top w:val="single" w:sz="24" w:space="0" w:color="auto"/>
              <w:right w:val="single" w:sz="24" w:space="0" w:color="auto"/>
            </w:tcBorders>
            <w:vAlign w:val="center"/>
          </w:tcPr>
          <w:p w14:paraId="24DD44B2" w14:textId="74EFF45E" w:rsidR="00952543" w:rsidRPr="006C115B" w:rsidRDefault="00952543" w:rsidP="00697B98">
            <w:pPr>
              <w:jc w:val="center"/>
              <w:rPr>
                <w:rFonts w:ascii="Segoe UI" w:hAnsi="Segoe UI" w:cs="Segoe UI"/>
                <w:b/>
                <w:bCs/>
                <w:sz w:val="18"/>
                <w:szCs w:val="18"/>
                <w:lang w:val="en-AU"/>
              </w:rPr>
            </w:pPr>
            <w:r w:rsidRPr="006C115B">
              <w:rPr>
                <w:rFonts w:ascii="Segoe UI" w:hAnsi="Segoe UI" w:cs="Segoe UI"/>
                <w:b/>
                <w:bCs/>
                <w:sz w:val="18"/>
                <w:szCs w:val="18"/>
                <w:lang w:val="en-AU"/>
              </w:rPr>
              <w:t>NUTRITION</w:t>
            </w:r>
            <w:r w:rsidR="00CF1D47" w:rsidRPr="00CF1D47">
              <w:rPr>
                <w:rFonts w:ascii="Segoe UI" w:hAnsi="Segoe UI" w:cs="Segoe UI"/>
                <w:b/>
                <w:bCs/>
                <w:sz w:val="18"/>
                <w:szCs w:val="18"/>
                <w:vertAlign w:val="superscript"/>
                <w:lang w:val="en-AU"/>
              </w:rPr>
              <w:t>1</w:t>
            </w:r>
          </w:p>
        </w:tc>
      </w:tr>
      <w:tr w:rsidR="00387651" w:rsidRPr="006C115B" w14:paraId="347BD363" w14:textId="77777777" w:rsidTr="00EF598B">
        <w:trPr>
          <w:trHeight w:val="273"/>
        </w:trPr>
        <w:tc>
          <w:tcPr>
            <w:tcW w:w="1560" w:type="dxa"/>
            <w:vMerge w:val="restart"/>
            <w:shd w:val="clear" w:color="auto" w:fill="A8D08D" w:themeFill="accent6" w:themeFillTint="99"/>
            <w:vAlign w:val="center"/>
          </w:tcPr>
          <w:p w14:paraId="5C461B74" w14:textId="77777777" w:rsidR="00952543" w:rsidRPr="006C115B" w:rsidRDefault="00952543" w:rsidP="00CF1D47">
            <w:pPr>
              <w:spacing w:after="60"/>
              <w:jc w:val="center"/>
              <w:rPr>
                <w:rFonts w:ascii="Segoe UI" w:hAnsi="Segoe UI" w:cs="Segoe UI"/>
                <w:sz w:val="16"/>
                <w:szCs w:val="16"/>
                <w:lang w:val="en-AU"/>
              </w:rPr>
            </w:pPr>
            <w:r w:rsidRPr="006C115B">
              <w:rPr>
                <w:rFonts w:ascii="Segoe UI" w:hAnsi="Segoe UI" w:cs="Segoe UI"/>
                <w:sz w:val="16"/>
                <w:szCs w:val="16"/>
                <w:lang w:val="en-AU"/>
              </w:rPr>
              <w:t>0</w:t>
            </w:r>
          </w:p>
        </w:tc>
        <w:tc>
          <w:tcPr>
            <w:tcW w:w="1559" w:type="dxa"/>
            <w:vMerge w:val="restart"/>
            <w:shd w:val="clear" w:color="auto" w:fill="A8D08D" w:themeFill="accent6" w:themeFillTint="99"/>
            <w:vAlign w:val="center"/>
          </w:tcPr>
          <w:p w14:paraId="08980AAF" w14:textId="77777777" w:rsidR="00952543" w:rsidRPr="006C115B" w:rsidRDefault="00952543" w:rsidP="00CF1D47">
            <w:pPr>
              <w:spacing w:after="60"/>
              <w:jc w:val="center"/>
              <w:rPr>
                <w:rFonts w:ascii="Segoe UI" w:hAnsi="Segoe UI" w:cs="Segoe UI"/>
                <w:sz w:val="16"/>
                <w:szCs w:val="16"/>
                <w:lang w:val="en-AU"/>
              </w:rPr>
            </w:pPr>
            <w:r w:rsidRPr="006C115B">
              <w:rPr>
                <w:rFonts w:ascii="Segoe UI" w:hAnsi="Segoe UI" w:cs="Segoe UI"/>
                <w:sz w:val="16"/>
                <w:szCs w:val="16"/>
                <w:lang w:val="en-AU"/>
              </w:rPr>
              <w:t>Sufficient</w:t>
            </w:r>
          </w:p>
        </w:tc>
        <w:tc>
          <w:tcPr>
            <w:tcW w:w="6100" w:type="dxa"/>
            <w:vMerge w:val="restart"/>
            <w:tcBorders>
              <w:right w:val="single" w:sz="24" w:space="0" w:color="auto"/>
            </w:tcBorders>
            <w:shd w:val="clear" w:color="auto" w:fill="A8D08D" w:themeFill="accent6" w:themeFillTint="99"/>
          </w:tcPr>
          <w:p w14:paraId="4BDE915F" w14:textId="77777777" w:rsidR="00952543" w:rsidRPr="006C115B" w:rsidRDefault="00952543" w:rsidP="00CF1D47">
            <w:pPr>
              <w:spacing w:after="60"/>
              <w:rPr>
                <w:rFonts w:ascii="Segoe UI" w:hAnsi="Segoe UI" w:cs="Segoe UI"/>
                <w:sz w:val="16"/>
                <w:szCs w:val="16"/>
                <w:lang w:val="en-AU"/>
              </w:rPr>
            </w:pPr>
            <w:r w:rsidRPr="006C115B">
              <w:rPr>
                <w:rFonts w:ascii="Segoe UI" w:hAnsi="Segoe UI" w:cs="Segoe UI"/>
                <w:sz w:val="16"/>
                <w:szCs w:val="16"/>
                <w:lang w:val="en-AU"/>
              </w:rPr>
              <w:t xml:space="preserve">N &gt; 40 kg/t target yield, P &gt; 18 mg/kg Colwell P, S &gt; 4.1 </w:t>
            </w:r>
            <w:proofErr w:type="spellStart"/>
            <w:r w:rsidRPr="006C115B">
              <w:rPr>
                <w:rFonts w:ascii="Segoe UI" w:hAnsi="Segoe UI" w:cs="Segoe UI"/>
                <w:sz w:val="16"/>
                <w:szCs w:val="16"/>
                <w:lang w:val="en-AU"/>
              </w:rPr>
              <w:t>KCl</w:t>
            </w:r>
            <w:proofErr w:type="spellEnd"/>
            <w:r w:rsidRPr="006C115B">
              <w:rPr>
                <w:rFonts w:ascii="Segoe UI" w:hAnsi="Segoe UI" w:cs="Segoe UI"/>
                <w:sz w:val="16"/>
                <w:szCs w:val="16"/>
                <w:lang w:val="en-AU"/>
              </w:rPr>
              <w:t xml:space="preserve">-S, K &gt; 49 mg/kg Colwell K, Zn &gt; 0.27 DTPA Zn and Cu &gt;0.23 mg/kg DTPA. </w:t>
            </w:r>
          </w:p>
        </w:tc>
      </w:tr>
      <w:tr w:rsidR="00387651" w:rsidRPr="006C115B" w14:paraId="57AC0A23" w14:textId="77777777" w:rsidTr="00EF598B">
        <w:trPr>
          <w:trHeight w:val="273"/>
        </w:trPr>
        <w:tc>
          <w:tcPr>
            <w:tcW w:w="1560" w:type="dxa"/>
            <w:vMerge/>
            <w:shd w:val="clear" w:color="auto" w:fill="A8D08D" w:themeFill="accent6" w:themeFillTint="99"/>
            <w:vAlign w:val="center"/>
          </w:tcPr>
          <w:p w14:paraId="0D6949B2" w14:textId="77777777" w:rsidR="00952543" w:rsidRPr="006C115B" w:rsidRDefault="00952543" w:rsidP="00CF1D47">
            <w:pPr>
              <w:spacing w:after="60"/>
              <w:jc w:val="center"/>
              <w:rPr>
                <w:rFonts w:ascii="Segoe UI" w:hAnsi="Segoe UI" w:cs="Segoe UI"/>
                <w:sz w:val="16"/>
                <w:szCs w:val="16"/>
                <w:lang w:val="en-AU"/>
              </w:rPr>
            </w:pPr>
          </w:p>
        </w:tc>
        <w:tc>
          <w:tcPr>
            <w:tcW w:w="1559" w:type="dxa"/>
            <w:vMerge/>
            <w:shd w:val="clear" w:color="auto" w:fill="A8D08D" w:themeFill="accent6" w:themeFillTint="99"/>
            <w:vAlign w:val="center"/>
          </w:tcPr>
          <w:p w14:paraId="1B3CE524" w14:textId="77777777" w:rsidR="00952543" w:rsidRPr="006C115B" w:rsidRDefault="00952543" w:rsidP="00CF1D47">
            <w:pPr>
              <w:spacing w:after="60"/>
              <w:jc w:val="center"/>
              <w:rPr>
                <w:rFonts w:ascii="Segoe UI" w:hAnsi="Segoe UI" w:cs="Segoe UI"/>
                <w:sz w:val="16"/>
                <w:szCs w:val="16"/>
                <w:lang w:val="en-AU"/>
              </w:rPr>
            </w:pPr>
          </w:p>
        </w:tc>
        <w:tc>
          <w:tcPr>
            <w:tcW w:w="6100" w:type="dxa"/>
            <w:vMerge/>
            <w:tcBorders>
              <w:right w:val="single" w:sz="24" w:space="0" w:color="auto"/>
            </w:tcBorders>
            <w:shd w:val="clear" w:color="auto" w:fill="A8D08D" w:themeFill="accent6" w:themeFillTint="99"/>
          </w:tcPr>
          <w:p w14:paraId="0A2F67C1" w14:textId="77777777" w:rsidR="00952543" w:rsidRPr="006C115B" w:rsidRDefault="00952543" w:rsidP="00CF1D47">
            <w:pPr>
              <w:spacing w:after="60"/>
              <w:rPr>
                <w:rFonts w:ascii="Segoe UI" w:hAnsi="Segoe UI" w:cs="Segoe UI"/>
                <w:sz w:val="16"/>
                <w:szCs w:val="16"/>
                <w:lang w:val="en-AU"/>
              </w:rPr>
            </w:pPr>
          </w:p>
        </w:tc>
      </w:tr>
      <w:tr w:rsidR="00387651" w:rsidRPr="006C115B" w14:paraId="0AA988B6" w14:textId="77777777" w:rsidTr="00EF598B">
        <w:trPr>
          <w:trHeight w:val="273"/>
        </w:trPr>
        <w:tc>
          <w:tcPr>
            <w:tcW w:w="1560" w:type="dxa"/>
            <w:vMerge w:val="restart"/>
            <w:shd w:val="clear" w:color="auto" w:fill="FFE599" w:themeFill="accent4" w:themeFillTint="66"/>
            <w:vAlign w:val="center"/>
          </w:tcPr>
          <w:p w14:paraId="7E0DD54D" w14:textId="77777777" w:rsidR="00952543" w:rsidRPr="006C115B" w:rsidRDefault="00952543" w:rsidP="00CF1D47">
            <w:pPr>
              <w:spacing w:after="60"/>
              <w:jc w:val="center"/>
              <w:rPr>
                <w:rFonts w:ascii="Segoe UI" w:hAnsi="Segoe UI" w:cs="Segoe UI"/>
                <w:sz w:val="16"/>
                <w:szCs w:val="16"/>
                <w:lang w:val="en-AU"/>
              </w:rPr>
            </w:pPr>
            <w:r w:rsidRPr="006C115B">
              <w:rPr>
                <w:rFonts w:ascii="Segoe UI" w:hAnsi="Segoe UI" w:cs="Segoe UI"/>
                <w:sz w:val="16"/>
                <w:szCs w:val="16"/>
                <w:lang w:val="en-AU"/>
              </w:rPr>
              <w:t>1</w:t>
            </w:r>
          </w:p>
        </w:tc>
        <w:tc>
          <w:tcPr>
            <w:tcW w:w="1559" w:type="dxa"/>
            <w:vMerge w:val="restart"/>
            <w:shd w:val="clear" w:color="auto" w:fill="FFE599" w:themeFill="accent4" w:themeFillTint="66"/>
            <w:vAlign w:val="center"/>
          </w:tcPr>
          <w:p w14:paraId="73BCDD16" w14:textId="77777777" w:rsidR="00952543" w:rsidRPr="006C115B" w:rsidRDefault="00952543" w:rsidP="00CF1D47">
            <w:pPr>
              <w:spacing w:after="60"/>
              <w:jc w:val="center"/>
              <w:rPr>
                <w:rFonts w:ascii="Segoe UI" w:hAnsi="Segoe UI" w:cs="Segoe UI"/>
                <w:sz w:val="16"/>
                <w:szCs w:val="16"/>
                <w:lang w:val="en-AU"/>
              </w:rPr>
            </w:pPr>
            <w:r w:rsidRPr="006C115B">
              <w:rPr>
                <w:rFonts w:ascii="Segoe UI" w:hAnsi="Segoe UI" w:cs="Segoe UI"/>
                <w:sz w:val="16"/>
                <w:szCs w:val="16"/>
                <w:lang w:val="en-AU"/>
              </w:rPr>
              <w:t>Marginal</w:t>
            </w:r>
          </w:p>
        </w:tc>
        <w:tc>
          <w:tcPr>
            <w:tcW w:w="6100" w:type="dxa"/>
            <w:vMerge w:val="restart"/>
            <w:tcBorders>
              <w:right w:val="single" w:sz="24" w:space="0" w:color="auto"/>
            </w:tcBorders>
            <w:shd w:val="clear" w:color="auto" w:fill="FFE599" w:themeFill="accent4" w:themeFillTint="66"/>
          </w:tcPr>
          <w:p w14:paraId="2F7A8769" w14:textId="77777777" w:rsidR="00952543" w:rsidRPr="006C115B" w:rsidRDefault="00952543" w:rsidP="00CF1D47">
            <w:pPr>
              <w:spacing w:after="60"/>
              <w:rPr>
                <w:rFonts w:ascii="Segoe UI" w:hAnsi="Segoe UI" w:cs="Segoe UI"/>
                <w:sz w:val="16"/>
                <w:szCs w:val="16"/>
                <w:lang w:val="en-AU"/>
              </w:rPr>
            </w:pPr>
            <w:r w:rsidRPr="006C115B">
              <w:rPr>
                <w:rFonts w:ascii="Segoe UI" w:hAnsi="Segoe UI" w:cs="Segoe UI"/>
                <w:sz w:val="16"/>
                <w:szCs w:val="16"/>
                <w:lang w:val="en-AU"/>
              </w:rPr>
              <w:t xml:space="preserve">N 20- 40 kg/t target yield, P 13-18 mg/kg Colwell P, S 2.2-4.1 mg/kg </w:t>
            </w:r>
            <w:proofErr w:type="spellStart"/>
            <w:r w:rsidRPr="006C115B">
              <w:rPr>
                <w:rFonts w:ascii="Segoe UI" w:hAnsi="Segoe UI" w:cs="Segoe UI"/>
                <w:sz w:val="16"/>
                <w:szCs w:val="16"/>
                <w:lang w:val="en-AU"/>
              </w:rPr>
              <w:t>KCl</w:t>
            </w:r>
            <w:proofErr w:type="spellEnd"/>
            <w:r w:rsidRPr="006C115B">
              <w:rPr>
                <w:rFonts w:ascii="Segoe UI" w:hAnsi="Segoe UI" w:cs="Segoe UI"/>
                <w:sz w:val="16"/>
                <w:szCs w:val="16"/>
                <w:lang w:val="en-AU"/>
              </w:rPr>
              <w:t>-S, K 30-49 mg/kg Colwell K, Zn 0.12-0.27 mg/kg DTPA and Cu 0.15-0.23 mg/kg DTPA.</w:t>
            </w:r>
          </w:p>
        </w:tc>
      </w:tr>
      <w:tr w:rsidR="00387651" w:rsidRPr="006C115B" w14:paraId="6E858CE0" w14:textId="77777777" w:rsidTr="00EF598B">
        <w:trPr>
          <w:trHeight w:val="273"/>
        </w:trPr>
        <w:tc>
          <w:tcPr>
            <w:tcW w:w="1560" w:type="dxa"/>
            <w:vMerge/>
            <w:shd w:val="clear" w:color="auto" w:fill="FFE599" w:themeFill="accent4" w:themeFillTint="66"/>
            <w:vAlign w:val="center"/>
          </w:tcPr>
          <w:p w14:paraId="24EE5F1F" w14:textId="77777777" w:rsidR="00952543" w:rsidRPr="006C115B" w:rsidRDefault="00952543" w:rsidP="00CF1D47">
            <w:pPr>
              <w:spacing w:after="60"/>
              <w:jc w:val="center"/>
              <w:rPr>
                <w:rFonts w:ascii="Segoe UI" w:hAnsi="Segoe UI" w:cs="Segoe UI"/>
                <w:sz w:val="16"/>
                <w:szCs w:val="16"/>
                <w:lang w:val="en-AU"/>
              </w:rPr>
            </w:pPr>
          </w:p>
        </w:tc>
        <w:tc>
          <w:tcPr>
            <w:tcW w:w="1559" w:type="dxa"/>
            <w:vMerge/>
            <w:shd w:val="clear" w:color="auto" w:fill="FFE599" w:themeFill="accent4" w:themeFillTint="66"/>
            <w:vAlign w:val="center"/>
          </w:tcPr>
          <w:p w14:paraId="67C3FA28" w14:textId="77777777" w:rsidR="00952543" w:rsidRPr="006C115B" w:rsidRDefault="00952543" w:rsidP="00CF1D47">
            <w:pPr>
              <w:spacing w:after="60"/>
              <w:jc w:val="center"/>
              <w:rPr>
                <w:rFonts w:ascii="Segoe UI" w:hAnsi="Segoe UI" w:cs="Segoe UI"/>
                <w:sz w:val="16"/>
                <w:szCs w:val="16"/>
                <w:lang w:val="en-AU"/>
              </w:rPr>
            </w:pPr>
          </w:p>
        </w:tc>
        <w:tc>
          <w:tcPr>
            <w:tcW w:w="6100" w:type="dxa"/>
            <w:vMerge/>
            <w:tcBorders>
              <w:right w:val="single" w:sz="24" w:space="0" w:color="auto"/>
            </w:tcBorders>
            <w:shd w:val="clear" w:color="auto" w:fill="FFE599" w:themeFill="accent4" w:themeFillTint="66"/>
          </w:tcPr>
          <w:p w14:paraId="6460BED3" w14:textId="77777777" w:rsidR="00952543" w:rsidRPr="006C115B" w:rsidRDefault="00952543" w:rsidP="00CF1D47">
            <w:pPr>
              <w:spacing w:after="60"/>
              <w:rPr>
                <w:rFonts w:ascii="Segoe UI" w:hAnsi="Segoe UI" w:cs="Segoe UI"/>
                <w:sz w:val="16"/>
                <w:szCs w:val="16"/>
                <w:lang w:val="en-AU"/>
              </w:rPr>
            </w:pPr>
          </w:p>
        </w:tc>
      </w:tr>
      <w:tr w:rsidR="00387651" w:rsidRPr="006C115B" w14:paraId="4523A032" w14:textId="77777777" w:rsidTr="00EF598B">
        <w:trPr>
          <w:trHeight w:val="273"/>
        </w:trPr>
        <w:tc>
          <w:tcPr>
            <w:tcW w:w="1560" w:type="dxa"/>
            <w:vMerge w:val="restart"/>
            <w:shd w:val="clear" w:color="auto" w:fill="FF967D"/>
            <w:vAlign w:val="center"/>
          </w:tcPr>
          <w:p w14:paraId="147A609E" w14:textId="77777777" w:rsidR="00952543" w:rsidRPr="006C115B" w:rsidRDefault="00952543" w:rsidP="00CF1D47">
            <w:pPr>
              <w:spacing w:after="60"/>
              <w:jc w:val="center"/>
              <w:rPr>
                <w:rFonts w:ascii="Segoe UI" w:hAnsi="Segoe UI" w:cs="Segoe UI"/>
                <w:sz w:val="16"/>
                <w:szCs w:val="16"/>
                <w:lang w:val="en-AU"/>
              </w:rPr>
            </w:pPr>
            <w:r w:rsidRPr="006C115B">
              <w:rPr>
                <w:rFonts w:ascii="Segoe UI" w:hAnsi="Segoe UI" w:cs="Segoe UI"/>
                <w:sz w:val="16"/>
                <w:szCs w:val="16"/>
                <w:lang w:val="en-AU"/>
              </w:rPr>
              <w:t>2</w:t>
            </w:r>
          </w:p>
        </w:tc>
        <w:tc>
          <w:tcPr>
            <w:tcW w:w="1559" w:type="dxa"/>
            <w:vMerge w:val="restart"/>
            <w:shd w:val="clear" w:color="auto" w:fill="FF967D"/>
            <w:vAlign w:val="center"/>
          </w:tcPr>
          <w:p w14:paraId="35D94EF6" w14:textId="77777777" w:rsidR="00952543" w:rsidRPr="006C115B" w:rsidRDefault="00952543" w:rsidP="00CF1D47">
            <w:pPr>
              <w:spacing w:after="60"/>
              <w:jc w:val="center"/>
              <w:rPr>
                <w:rFonts w:ascii="Segoe UI" w:hAnsi="Segoe UI" w:cs="Segoe UI"/>
                <w:sz w:val="16"/>
                <w:szCs w:val="16"/>
                <w:lang w:val="en-AU"/>
              </w:rPr>
            </w:pPr>
            <w:r w:rsidRPr="006C115B">
              <w:rPr>
                <w:rFonts w:ascii="Segoe UI" w:hAnsi="Segoe UI" w:cs="Segoe UI"/>
                <w:sz w:val="16"/>
                <w:szCs w:val="16"/>
                <w:lang w:val="en-AU"/>
              </w:rPr>
              <w:t>Deficient</w:t>
            </w:r>
          </w:p>
        </w:tc>
        <w:tc>
          <w:tcPr>
            <w:tcW w:w="6100" w:type="dxa"/>
            <w:vMerge w:val="restart"/>
            <w:tcBorders>
              <w:right w:val="single" w:sz="24" w:space="0" w:color="auto"/>
            </w:tcBorders>
            <w:shd w:val="clear" w:color="auto" w:fill="FF967D"/>
          </w:tcPr>
          <w:p w14:paraId="6CB70ABB" w14:textId="77777777" w:rsidR="00952543" w:rsidRPr="006C115B" w:rsidRDefault="00952543" w:rsidP="00CF1D47">
            <w:pPr>
              <w:spacing w:after="60"/>
              <w:rPr>
                <w:rFonts w:ascii="Segoe UI" w:hAnsi="Segoe UI" w:cs="Segoe UI"/>
                <w:sz w:val="16"/>
                <w:szCs w:val="16"/>
                <w:lang w:val="en-AU"/>
              </w:rPr>
            </w:pPr>
            <w:r w:rsidRPr="006C115B">
              <w:rPr>
                <w:rFonts w:ascii="Segoe UI" w:hAnsi="Segoe UI" w:cs="Segoe UI"/>
                <w:sz w:val="16"/>
                <w:szCs w:val="16"/>
                <w:lang w:val="en-AU"/>
              </w:rPr>
              <w:t xml:space="preserve">N &lt; 20 kg/t target yield, P &lt;13 mg/kg Colwell P, S &lt; 2.2 mg/kg </w:t>
            </w:r>
            <w:proofErr w:type="spellStart"/>
            <w:r w:rsidRPr="006C115B">
              <w:rPr>
                <w:rFonts w:ascii="Segoe UI" w:hAnsi="Segoe UI" w:cs="Segoe UI"/>
                <w:sz w:val="16"/>
                <w:szCs w:val="16"/>
                <w:lang w:val="en-AU"/>
              </w:rPr>
              <w:t>KCl</w:t>
            </w:r>
            <w:proofErr w:type="spellEnd"/>
            <w:r w:rsidRPr="006C115B">
              <w:rPr>
                <w:rFonts w:ascii="Segoe UI" w:hAnsi="Segoe UI" w:cs="Segoe UI"/>
                <w:sz w:val="16"/>
                <w:szCs w:val="16"/>
                <w:lang w:val="en-AU"/>
              </w:rPr>
              <w:t>-S, K &lt;30 mg/kg Colwell K, Zn &lt; 0.12 DTPA and Cu &lt; 0.15 mg/kg DTPA.</w:t>
            </w:r>
          </w:p>
        </w:tc>
      </w:tr>
      <w:tr w:rsidR="00387651" w:rsidRPr="006C115B" w14:paraId="0DA9E25E" w14:textId="77777777" w:rsidTr="00EF598B">
        <w:trPr>
          <w:trHeight w:val="266"/>
        </w:trPr>
        <w:tc>
          <w:tcPr>
            <w:tcW w:w="1560" w:type="dxa"/>
            <w:vMerge/>
            <w:shd w:val="clear" w:color="auto" w:fill="FF967D"/>
          </w:tcPr>
          <w:p w14:paraId="02C5662D" w14:textId="77777777" w:rsidR="00952543" w:rsidRPr="006C115B" w:rsidRDefault="00952543" w:rsidP="00964A38">
            <w:pPr>
              <w:jc w:val="center"/>
              <w:rPr>
                <w:rFonts w:ascii="Segoe UI" w:hAnsi="Segoe UI" w:cs="Segoe UI"/>
                <w:sz w:val="16"/>
                <w:szCs w:val="16"/>
                <w:lang w:val="en-AU"/>
              </w:rPr>
            </w:pPr>
          </w:p>
        </w:tc>
        <w:tc>
          <w:tcPr>
            <w:tcW w:w="1559" w:type="dxa"/>
            <w:vMerge/>
            <w:shd w:val="clear" w:color="auto" w:fill="FF967D"/>
          </w:tcPr>
          <w:p w14:paraId="69ED6ED0" w14:textId="77777777" w:rsidR="00952543" w:rsidRPr="006C115B" w:rsidRDefault="00952543" w:rsidP="00964A38">
            <w:pPr>
              <w:rPr>
                <w:rFonts w:ascii="Segoe UI" w:hAnsi="Segoe UI" w:cs="Segoe UI"/>
                <w:sz w:val="16"/>
                <w:szCs w:val="16"/>
                <w:lang w:val="en-AU"/>
              </w:rPr>
            </w:pPr>
          </w:p>
        </w:tc>
        <w:tc>
          <w:tcPr>
            <w:tcW w:w="6100" w:type="dxa"/>
            <w:vMerge/>
            <w:tcBorders>
              <w:right w:val="single" w:sz="24" w:space="0" w:color="auto"/>
            </w:tcBorders>
            <w:shd w:val="clear" w:color="auto" w:fill="FF967D"/>
          </w:tcPr>
          <w:p w14:paraId="54C110AF" w14:textId="77777777" w:rsidR="00952543" w:rsidRPr="006C115B" w:rsidRDefault="00952543" w:rsidP="00964A38">
            <w:pPr>
              <w:rPr>
                <w:rFonts w:ascii="Segoe UI" w:hAnsi="Segoe UI" w:cs="Segoe UI"/>
                <w:sz w:val="16"/>
                <w:szCs w:val="16"/>
                <w:lang w:val="en-AU"/>
              </w:rPr>
            </w:pPr>
          </w:p>
        </w:tc>
      </w:tr>
    </w:tbl>
    <w:p w14:paraId="7140E48E" w14:textId="7FAC0101" w:rsidR="00697B98" w:rsidRPr="00CF1D47" w:rsidRDefault="00CF1D47" w:rsidP="00CF1D47">
      <w:pPr>
        <w:rPr>
          <w:rFonts w:ascii="Segoe UI" w:hAnsi="Segoe UI" w:cs="Segoe UI"/>
          <w:sz w:val="16"/>
          <w:szCs w:val="16"/>
          <w:lang w:val="en-AU"/>
        </w:rPr>
      </w:pPr>
      <w:r w:rsidRPr="00CF1D47">
        <w:rPr>
          <w:rFonts w:ascii="Segoe UI" w:hAnsi="Segoe UI" w:cs="Segoe UI"/>
          <w:sz w:val="16"/>
          <w:szCs w:val="16"/>
          <w:vertAlign w:val="superscript"/>
          <w:lang w:val="en-AU"/>
        </w:rPr>
        <w:t>1</w:t>
      </w:r>
      <w:r w:rsidRPr="00CF1D47">
        <w:rPr>
          <w:rFonts w:ascii="Segoe UI" w:hAnsi="Segoe UI" w:cs="Segoe UI"/>
          <w:sz w:val="16"/>
          <w:szCs w:val="16"/>
          <w:lang w:val="en-AU"/>
        </w:rPr>
        <w:t xml:space="preserve">Soil test thresholds for N, P, K, S are derived from </w:t>
      </w:r>
      <w:hyperlink r:id="rId5" w:history="1">
        <w:r w:rsidRPr="00CF1D47">
          <w:rPr>
            <w:rStyle w:val="Hyperlink"/>
            <w:rFonts w:ascii="Segoe UI" w:hAnsi="Segoe UI" w:cs="Segoe UI"/>
            <w:sz w:val="16"/>
            <w:szCs w:val="16"/>
            <w:lang w:val="en-AU"/>
          </w:rPr>
          <w:t>https://bfdc.com.au/interrogator/frontpage.vm</w:t>
        </w:r>
      </w:hyperlink>
      <w:r w:rsidRPr="00CF1D47">
        <w:rPr>
          <w:rFonts w:ascii="Segoe UI" w:hAnsi="Segoe UI" w:cs="Segoe UI"/>
          <w:sz w:val="16"/>
          <w:szCs w:val="16"/>
          <w:lang w:val="en-AU"/>
        </w:rPr>
        <w:t xml:space="preserve"> and for Zn and Cu from </w:t>
      </w:r>
      <w:proofErr w:type="spellStart"/>
      <w:r w:rsidRPr="00CF1D47">
        <w:rPr>
          <w:rFonts w:ascii="Segoe UI" w:hAnsi="Segoe UI" w:cs="Segoe UI"/>
          <w:sz w:val="16"/>
          <w:szCs w:val="16"/>
          <w:lang w:val="en-AU"/>
        </w:rPr>
        <w:t>Peverill</w:t>
      </w:r>
      <w:proofErr w:type="spellEnd"/>
      <w:r w:rsidRPr="00CF1D47">
        <w:rPr>
          <w:rFonts w:ascii="Segoe UI" w:hAnsi="Segoe UI" w:cs="Segoe UI"/>
          <w:sz w:val="16"/>
          <w:szCs w:val="16"/>
          <w:lang w:val="en-AU"/>
        </w:rPr>
        <w:t xml:space="preserve"> et al. (1999) Methods of soil analysis – an interpretation manual. Note that soil testing for manganese and molybdenum availability do not have reliable thresholds.</w:t>
      </w:r>
    </w:p>
    <w:p w14:paraId="72CC375E" w14:textId="642B9D6B" w:rsidR="006C115B" w:rsidRDefault="006C115B" w:rsidP="00CF1D47">
      <w:pPr>
        <w:spacing w:after="0"/>
        <w:rPr>
          <w:rFonts w:ascii="Segoe UI" w:hAnsi="Segoe UI" w:cs="Segoe UI"/>
          <w:sz w:val="18"/>
          <w:szCs w:val="18"/>
          <w:lang w:val="en-AU"/>
        </w:rPr>
      </w:pPr>
      <w:r w:rsidRPr="00E20BD4">
        <w:rPr>
          <w:rFonts w:ascii="Segoe UI" w:hAnsi="Segoe UI" w:cs="Segoe UI"/>
          <w:b/>
          <w:bCs/>
          <w:sz w:val="20"/>
          <w:szCs w:val="20"/>
          <w:lang w:val="en-AU"/>
        </w:rPr>
        <w:t>USEFUL RESOURCES</w:t>
      </w:r>
    </w:p>
    <w:p w14:paraId="1D5FD23E" w14:textId="7B67BC42" w:rsidR="006C115B" w:rsidRPr="006C115B" w:rsidRDefault="006C115B" w:rsidP="006C115B">
      <w:pPr>
        <w:spacing w:after="0"/>
        <w:rPr>
          <w:rFonts w:ascii="Segoe UI" w:hAnsi="Segoe UI" w:cs="Segoe UI"/>
          <w:b/>
          <w:bCs/>
          <w:sz w:val="18"/>
          <w:szCs w:val="18"/>
          <w:lang w:val="en-AU"/>
        </w:rPr>
      </w:pPr>
      <w:r w:rsidRPr="006C115B">
        <w:rPr>
          <w:rFonts w:ascii="Segoe UI" w:hAnsi="Segoe UI" w:cs="Segoe UI"/>
          <w:b/>
          <w:bCs/>
          <w:sz w:val="18"/>
          <w:szCs w:val="18"/>
          <w:lang w:val="en-AU"/>
        </w:rPr>
        <w:t>Soil testing for crop nutrition</w:t>
      </w:r>
    </w:p>
    <w:p w14:paraId="55AE235D" w14:textId="283C4A28" w:rsidR="006C115B" w:rsidRDefault="006C115B" w:rsidP="006C115B">
      <w:pPr>
        <w:spacing w:after="120"/>
        <w:rPr>
          <w:rFonts w:ascii="Segoe UI" w:hAnsi="Segoe UI" w:cs="Segoe UI"/>
          <w:sz w:val="18"/>
          <w:szCs w:val="18"/>
          <w:lang w:val="en-AU"/>
        </w:rPr>
      </w:pPr>
      <w:r w:rsidRPr="006C115B">
        <w:rPr>
          <w:rFonts w:ascii="Segoe UI" w:hAnsi="Segoe UI" w:cs="Segoe UI"/>
          <w:sz w:val="18"/>
          <w:szCs w:val="18"/>
          <w:lang w:val="en-AU"/>
        </w:rPr>
        <w:t>https://grdc.com.au/~/media/documents/resources/publications/fact-sheets/grdc_fs_soil-testing-for-crop-nutrition-s_low-res-pdf.pdf</w:t>
      </w:r>
    </w:p>
    <w:p w14:paraId="2BF5A697" w14:textId="26F4B9B8" w:rsidR="006C115B" w:rsidRPr="006C115B" w:rsidRDefault="006C115B" w:rsidP="006C115B">
      <w:pPr>
        <w:spacing w:after="0"/>
        <w:rPr>
          <w:rFonts w:ascii="Segoe UI" w:hAnsi="Segoe UI" w:cs="Segoe UI"/>
          <w:b/>
          <w:bCs/>
          <w:sz w:val="18"/>
          <w:szCs w:val="18"/>
          <w:lang w:val="en-AU"/>
        </w:rPr>
      </w:pPr>
      <w:r w:rsidRPr="006C115B">
        <w:rPr>
          <w:rFonts w:ascii="Segoe UI" w:hAnsi="Segoe UI" w:cs="Segoe UI"/>
          <w:b/>
          <w:bCs/>
          <w:sz w:val="18"/>
          <w:szCs w:val="18"/>
          <w:lang w:val="en-AU"/>
        </w:rPr>
        <w:t>Soil and plant testing for profitable fertiliser use</w:t>
      </w:r>
    </w:p>
    <w:p w14:paraId="15859027" w14:textId="1B95CC93" w:rsidR="006C115B" w:rsidRDefault="006C115B" w:rsidP="006C115B">
      <w:pPr>
        <w:spacing w:after="120"/>
        <w:rPr>
          <w:rFonts w:ascii="Segoe UI" w:hAnsi="Segoe UI" w:cs="Segoe UI"/>
          <w:sz w:val="18"/>
          <w:szCs w:val="18"/>
          <w:lang w:val="en-AU"/>
        </w:rPr>
      </w:pPr>
      <w:r w:rsidRPr="006C115B">
        <w:rPr>
          <w:rFonts w:ascii="Segoe UI" w:hAnsi="Segoe UI" w:cs="Segoe UI"/>
          <w:sz w:val="18"/>
          <w:szCs w:val="18"/>
          <w:lang w:val="en-AU"/>
        </w:rPr>
        <w:t>https://www.agronomysolutions.com.au/wp-content/uploads/2020/05/AGRGRD-Soil-and-Planning-Back-Pocket-Booklet_FA_online_HR.pdf</w:t>
      </w:r>
    </w:p>
    <w:sectPr w:rsidR="006C1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12F0"/>
    <w:multiLevelType w:val="hybridMultilevel"/>
    <w:tmpl w:val="8D9C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2EB8"/>
    <w:multiLevelType w:val="hybridMultilevel"/>
    <w:tmpl w:val="F7D0AAA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2458FA"/>
    <w:multiLevelType w:val="hybridMultilevel"/>
    <w:tmpl w:val="88BC1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3900A2"/>
    <w:multiLevelType w:val="hybridMultilevel"/>
    <w:tmpl w:val="EE02598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B94897"/>
    <w:multiLevelType w:val="hybridMultilevel"/>
    <w:tmpl w:val="32D8036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43"/>
    <w:rsid w:val="000A1779"/>
    <w:rsid w:val="00103C67"/>
    <w:rsid w:val="001F0709"/>
    <w:rsid w:val="00387651"/>
    <w:rsid w:val="00697B98"/>
    <w:rsid w:val="006C115B"/>
    <w:rsid w:val="006E6BF9"/>
    <w:rsid w:val="008B05D4"/>
    <w:rsid w:val="00952543"/>
    <w:rsid w:val="00A7407C"/>
    <w:rsid w:val="00AD12C2"/>
    <w:rsid w:val="00CF1D47"/>
    <w:rsid w:val="00CF474D"/>
    <w:rsid w:val="00ED0980"/>
    <w:rsid w:val="00EF59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5BD6"/>
  <w15:chartTrackingRefBased/>
  <w15:docId w15:val="{9A336D0E-5F44-4019-B4EA-0EC65BD4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54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543"/>
    <w:pPr>
      <w:ind w:left="720"/>
      <w:contextualSpacing/>
    </w:pPr>
  </w:style>
  <w:style w:type="table" w:styleId="TableGrid">
    <w:name w:val="Table Grid"/>
    <w:basedOn w:val="TableNormal"/>
    <w:uiPriority w:val="39"/>
    <w:rsid w:val="009525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52543"/>
    <w:pPr>
      <w:spacing w:after="0" w:line="240" w:lineRule="auto"/>
    </w:pPr>
    <w:rPr>
      <w:rFonts w:ascii="Calibri Light" w:eastAsia="Calibri" w:hAnsi="Calibri Light" w:cs="Times New Roman"/>
      <w:sz w:val="20"/>
      <w:szCs w:val="20"/>
      <w:lang w:val="en-AU" w:eastAsia="en-AU"/>
    </w:rPr>
  </w:style>
  <w:style w:type="character" w:customStyle="1" w:styleId="FootnoteTextChar">
    <w:name w:val="Footnote Text Char"/>
    <w:basedOn w:val="DefaultParagraphFont"/>
    <w:link w:val="FootnoteText"/>
    <w:uiPriority w:val="99"/>
    <w:semiHidden/>
    <w:rsid w:val="00952543"/>
    <w:rPr>
      <w:rFonts w:ascii="Calibri Light" w:eastAsia="Calibri" w:hAnsi="Calibri Light" w:cs="Times New Roman"/>
      <w:sz w:val="20"/>
      <w:szCs w:val="20"/>
      <w:lang w:eastAsia="en-AU"/>
    </w:rPr>
  </w:style>
  <w:style w:type="character" w:styleId="Hyperlink">
    <w:name w:val="Hyperlink"/>
    <w:basedOn w:val="DefaultParagraphFont"/>
    <w:uiPriority w:val="99"/>
    <w:unhideWhenUsed/>
    <w:rsid w:val="00952543"/>
    <w:rPr>
      <w:color w:val="0563C1" w:themeColor="hyperlink"/>
      <w:u w:val="single"/>
    </w:rPr>
  </w:style>
  <w:style w:type="character" w:styleId="CommentReference">
    <w:name w:val="annotation reference"/>
    <w:basedOn w:val="DefaultParagraphFont"/>
    <w:uiPriority w:val="99"/>
    <w:semiHidden/>
    <w:unhideWhenUsed/>
    <w:rsid w:val="00952543"/>
    <w:rPr>
      <w:sz w:val="16"/>
      <w:szCs w:val="16"/>
    </w:rPr>
  </w:style>
  <w:style w:type="paragraph" w:styleId="CommentText">
    <w:name w:val="annotation text"/>
    <w:basedOn w:val="Normal"/>
    <w:link w:val="CommentTextChar"/>
    <w:uiPriority w:val="99"/>
    <w:semiHidden/>
    <w:unhideWhenUsed/>
    <w:rsid w:val="00952543"/>
    <w:pPr>
      <w:spacing w:line="240" w:lineRule="auto"/>
    </w:pPr>
    <w:rPr>
      <w:sz w:val="20"/>
      <w:szCs w:val="20"/>
    </w:rPr>
  </w:style>
  <w:style w:type="character" w:customStyle="1" w:styleId="CommentTextChar">
    <w:name w:val="Comment Text Char"/>
    <w:basedOn w:val="DefaultParagraphFont"/>
    <w:link w:val="CommentText"/>
    <w:uiPriority w:val="99"/>
    <w:semiHidden/>
    <w:rsid w:val="00952543"/>
    <w:rPr>
      <w:sz w:val="20"/>
      <w:szCs w:val="20"/>
      <w:lang w:val="en-US"/>
    </w:rPr>
  </w:style>
  <w:style w:type="paragraph" w:customStyle="1" w:styleId="pf0">
    <w:name w:val="pf0"/>
    <w:basedOn w:val="Normal"/>
    <w:rsid w:val="009525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bfdc.com.au/interrogator/frontpage.v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1F366AC8A9C4EA98BAC5DDE52095C" ma:contentTypeVersion="14" ma:contentTypeDescription="Create a new document." ma:contentTypeScope="" ma:versionID="c4ba829e3c9e640e73916f5f40286313">
  <xsd:schema xmlns:xsd="http://www.w3.org/2001/XMLSchema" xmlns:xs="http://www.w3.org/2001/XMLSchema" xmlns:p="http://schemas.microsoft.com/office/2006/metadata/properties" xmlns:ns2="c9d19eff-0fed-49ac-92e1-d209d15f12dd" xmlns:ns3="14797e16-e33f-459e-ba37-a6f1a957d2c7" targetNamespace="http://schemas.microsoft.com/office/2006/metadata/properties" ma:root="true" ma:fieldsID="bab11dbc031b2015f450bd65038f492d" ns2:_="" ns3:_="">
    <xsd:import namespace="c9d19eff-0fed-49ac-92e1-d209d15f12dd"/>
    <xsd:import namespace="14797e16-e33f-459e-ba37-a6f1a957d2c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19eff-0fed-49ac-92e1-d209d15f12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eac1ef1d-ab50-435d-bd20-947e723649f3}" ma:internalName="TaxCatchAll" ma:showField="CatchAllData" ma:web="c9d19eff-0fed-49ac-92e1-d209d15f1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797e16-e33f-459e-ba37-a6f1a957d2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9d19eff-0fed-49ac-92e1-d209d15f12dd">4DFSYEQKX7AQ-510518137-1220</_dlc_DocId>
    <_dlc_DocIdUrl xmlns="c9d19eff-0fed-49ac-92e1-d209d15f12dd">
      <Url>https://csiroau.sharepoint.com/sites/GRDC_CSP00203/_layouts/15/DocIdRedir.aspx?ID=4DFSYEQKX7AQ-510518137-1220</Url>
      <Description>4DFSYEQKX7AQ-510518137-1220</Description>
    </_dlc_DocIdUrl>
    <TaxCatchAll xmlns="c9d19eff-0fed-49ac-92e1-d209d15f12dd" xsi:nil="true"/>
    <lcf76f155ced4ddcb4097134ff3c332f xmlns="14797e16-e33f-459e-ba37-a6f1a957d2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D609-8BCA-47BD-9CA0-1032FDA0DBCA}"/>
</file>

<file path=customXml/itemProps2.xml><?xml version="1.0" encoding="utf-8"?>
<ds:datastoreItem xmlns:ds="http://schemas.openxmlformats.org/officeDocument/2006/customXml" ds:itemID="{7EAB2A67-C36E-45A7-923B-DE2E2EE1659C}"/>
</file>

<file path=customXml/itemProps3.xml><?xml version="1.0" encoding="utf-8"?>
<ds:datastoreItem xmlns:ds="http://schemas.openxmlformats.org/officeDocument/2006/customXml" ds:itemID="{F35979BF-6B9C-494A-8CE7-0B43BB3533AE}"/>
</file>

<file path=customXml/itemProps4.xml><?xml version="1.0" encoding="utf-8"?>
<ds:datastoreItem xmlns:ds="http://schemas.openxmlformats.org/officeDocument/2006/customXml" ds:itemID="{E4DD7DAA-80A9-45E1-B8E5-01BC7C0A1B58}"/>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Fraser</dc:creator>
  <cp:keywords/>
  <dc:description/>
  <cp:lastModifiedBy>Melissa Fraser</cp:lastModifiedBy>
  <cp:revision>4</cp:revision>
  <dcterms:created xsi:type="dcterms:W3CDTF">2022-07-13T08:20:00Z</dcterms:created>
  <dcterms:modified xsi:type="dcterms:W3CDTF">2022-07-13T08:20:00Z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0x01010050B1F366AC8A9C4EA98BAC5DDE52095C</vt:lpwstr>
  </property>
  <property fmtid="{D5CDD505-2E9C-101B-9397-08002B2CF9AE}" pid="3" name="_dlc_DocIdItemGuid">
    <vt:lpwstr>a7079838-8ea1-4f81-bd32-042e068279de</vt:lpwstr>
  </property>
</Properties>
</file>