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7FB" w:rsidRPr="00FB2D52" w:rsidRDefault="002738EC">
      <w:pPr>
        <w:pStyle w:val="Heading4"/>
        <w:spacing w:before="0" w:line="270" w:lineRule="atLeast"/>
        <w:rPr>
          <w:rFonts w:ascii="MingLiU" w:eastAsia="MingLiU" w:hAnsi="MingLiU" w:cs="MingLiU"/>
          <w:b/>
          <w:bCs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b/>
          <w:bCs/>
          <w:i w:val="0"/>
          <w:iCs w:val="0"/>
          <w:color w:val="333333"/>
          <w:sz w:val="24"/>
          <w:szCs w:val="24"/>
        </w:rPr>
        <w:t>大眾傳媒</w:t>
      </w:r>
      <w:r w:rsidR="00BA705A" w:rsidRPr="00FB2D52">
        <w:rPr>
          <w:rFonts w:ascii="MingLiU" w:eastAsia="MingLiU" w:hAnsi="MingLiU" w:cs="MingLiU" w:hint="eastAsia"/>
          <w:b/>
          <w:bCs/>
          <w:i w:val="0"/>
          <w:iCs w:val="0"/>
          <w:color w:val="333333"/>
          <w:sz w:val="24"/>
          <w:szCs w:val="24"/>
          <w:lang w:eastAsia="zh-HK"/>
        </w:rPr>
        <w:t xml:space="preserve">The Mass Media </w:t>
      </w:r>
    </w:p>
    <w:p w:rsidR="008C67FB" w:rsidRPr="00FB2D52" w:rsidRDefault="008C67FB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</w:p>
    <w:p w:rsidR="007F6F0A" w:rsidRPr="00FB2D52" w:rsidRDefault="008C67FB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大眾傳播媒體，簡稱大眾媒體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(mass media)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，指報紙、書籍、雜誌、廣播、電視、電影、錄音帶、錄影帶等，媒介大眾傳播作用之工具。通常又分為印刷媒體以及非印刷媒體兩類，前者如書報、雜誌等，後者如電影、電視、廣播等。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 xml:space="preserve"> 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 xml:space="preserve">　</w:t>
      </w:r>
    </w:p>
    <w:p w:rsidR="007F6F0A" w:rsidRPr="00FB2D52" w:rsidRDefault="007F6F0A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</w:p>
    <w:p w:rsidR="008B3C02" w:rsidRDefault="008C67FB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 xml:space="preserve">　人類的傳播行為由來已久，可說與人類歷史同樣久遠。事實上，傳播能力的發展，乃是人類從芸芸眾生中出類拔萃而成為萬物之靈的最重要原因。傳播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(communication)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一詞之拉丁文原義為「共同性」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(commonness)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，含有通過與別人交換意見或訊息，以建立共識之義，是實現人類社會共同生活的基本條件。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 xml:space="preserve"> 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 xml:space="preserve">　　</w:t>
      </w:r>
    </w:p>
    <w:p w:rsidR="008B3C02" w:rsidRDefault="008B3C02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</w:p>
    <w:p w:rsidR="007F6F0A" w:rsidRPr="00FB2D52" w:rsidRDefault="008C67FB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  <w:bookmarkStart w:id="0" w:name="_GoBack"/>
      <w:bookmarkEnd w:id="0"/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大眾傳播之發展為現代社會的特徵之一，乃以新傳播科技（最早為印刷術）的發展為基礎。大眾傳播的定義為：利用報紙、雜誌、廣播、電視等媒體，將一定的訊息傳達給無限大眾的行為，接受者是為數眾多的群眾，而傳播過程則以大眾媒體為工具，這兩者是大眾傳播的重要特性。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 xml:space="preserve"> 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 xml:space="preserve">　　由於科學及技術（如自動化機械）的突飛猛進，現代人的休閒時間大量增加，有機會接觸大眾媒體，因此大眾媒體的社會影響力實不可限量。</w:t>
      </w:r>
    </w:p>
    <w:p w:rsidR="007F6F0A" w:rsidRPr="00FB2D52" w:rsidRDefault="007F6F0A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</w:p>
    <w:p w:rsidR="00C54251" w:rsidRPr="00FB2D52" w:rsidRDefault="008C67FB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據傳播社會學者戴維托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 xml:space="preserve">(Joseph A. </w:t>
      </w:r>
      <w:proofErr w:type="spellStart"/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Devito</w:t>
      </w:r>
      <w:proofErr w:type="spellEnd"/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的分析，大眾媒體的社會功能，主要的有以下十一項：</w:t>
      </w:r>
    </w:p>
    <w:p w:rsidR="00856350" w:rsidRPr="00FB2D52" w:rsidRDefault="008C67FB" w:rsidP="006D7EB4">
      <w:pPr>
        <w:pStyle w:val="Heading4"/>
        <w:numPr>
          <w:ilvl w:val="0"/>
          <w:numId w:val="1"/>
        </w:numPr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娛樂；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(2)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增強（行為或態度等）；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(3)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改變或說服；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(4)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教育；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(5)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社會化；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(6)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賦與社會地位；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(7)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喚起行動；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(8)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引人注意；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(9)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麻醉；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(10)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造成社會連帶；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>(11)</w:t>
      </w: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維護社會倫理。</w:t>
      </w:r>
      <w:r w:rsidRPr="00FB2D52"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  <w:t xml:space="preserve"> </w:t>
      </w:r>
    </w:p>
    <w:p w:rsidR="006D7EB4" w:rsidRPr="00FB2D52" w:rsidRDefault="008C67FB" w:rsidP="00856350">
      <w:pPr>
        <w:pStyle w:val="Heading4"/>
        <w:spacing w:before="0" w:line="270" w:lineRule="atLeast"/>
        <w:rPr>
          <w:rFonts w:ascii="MingLiU" w:eastAsia="MingLiU" w:hAnsi="MingLiU" w:cs="MingLiU"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 xml:space="preserve">　　</w:t>
      </w:r>
    </w:p>
    <w:p w:rsidR="008C67FB" w:rsidRPr="00FB2D52" w:rsidRDefault="008C67FB" w:rsidP="006D7EB4">
      <w:pPr>
        <w:pStyle w:val="Heading4"/>
        <w:spacing w:before="0" w:line="270" w:lineRule="atLeast"/>
        <w:ind w:left="720"/>
        <w:rPr>
          <w:rFonts w:ascii="Helvetica" w:eastAsia="Times New Roman" w:hAnsi="Helvetica"/>
          <w:i w:val="0"/>
          <w:iCs w:val="0"/>
          <w:color w:val="333333"/>
          <w:sz w:val="24"/>
          <w:szCs w:val="24"/>
        </w:rPr>
      </w:pPr>
      <w:r w:rsidRPr="00FB2D52">
        <w:rPr>
          <w:rFonts w:ascii="MingLiU" w:eastAsia="MingLiU" w:hAnsi="MingLiU" w:cs="MingLiU" w:hint="eastAsia"/>
          <w:i w:val="0"/>
          <w:iCs w:val="0"/>
          <w:color w:val="333333"/>
          <w:sz w:val="24"/>
          <w:szCs w:val="24"/>
        </w:rPr>
        <w:t>資本主義社會的大眾媒體經營多應用企業形態，因而有濃厚的商業主義色彩、煽情主義、娛樂導向、票房第一之傾向出現，以致產生節目低俗化、內容空洞化等問題。結果，其應有的教育功能未能充分發揮，而娛樂功能卻過度膨脹。這是今日大眾媒體的一重要問題，也是社會問題之一。</w:t>
      </w:r>
    </w:p>
    <w:p w:rsidR="008C67FB" w:rsidRPr="00FB2D52" w:rsidRDefault="008C67FB">
      <w:pPr>
        <w:rPr>
          <w:sz w:val="24"/>
          <w:szCs w:val="24"/>
        </w:rPr>
      </w:pPr>
    </w:p>
    <w:sectPr w:rsidR="008C67FB" w:rsidRPr="00FB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2110"/>
    <w:multiLevelType w:val="hybridMultilevel"/>
    <w:tmpl w:val="1F9E4CA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Helvetica" w:eastAsia="Times New Roman" w:hAnsi="Helvetic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FB"/>
    <w:rsid w:val="000217BD"/>
    <w:rsid w:val="002738EC"/>
    <w:rsid w:val="006D7EB4"/>
    <w:rsid w:val="007F6F0A"/>
    <w:rsid w:val="00856350"/>
    <w:rsid w:val="008B3C02"/>
    <w:rsid w:val="008C67FB"/>
    <w:rsid w:val="008F3EEF"/>
    <w:rsid w:val="00BA705A"/>
    <w:rsid w:val="00C44F8F"/>
    <w:rsid w:val="00C54251"/>
    <w:rsid w:val="00F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EACE1"/>
  <w15:chartTrackingRefBased/>
  <w15:docId w15:val="{AFD7A13D-696C-BE4D-8071-4E1AD9DE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C67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3</cp:revision>
  <dcterms:created xsi:type="dcterms:W3CDTF">2020-02-13T08:26:00Z</dcterms:created>
  <dcterms:modified xsi:type="dcterms:W3CDTF">2020-02-13T08:33:00Z</dcterms:modified>
</cp:coreProperties>
</file>