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color w:val="000000"/>
          <w:sz w:val="24"/>
        </w:rPr>
        <w:t>Informe del laboratorio de minería de datos</w:t>
      </w:r>
    </w:p>
    <w:p>
      <w:pPr>
        <w:ind w:firstLine="0"/>
        <w:jc w:val="center"/>
      </w:pPr>
      <w:r>
        <w:rPr>
          <w:rFonts w:ascii="Times New Roman" w:hAnsi="Times New Roman" w:eastAsia="Times New Roman" w:cs="Times New Roman"/>
          <w:color w:val="000000"/>
          <w:sz w:val="24"/>
        </w:rPr>
        <w:t>José Luis Burbano Buchelly</w:t>
      </w:r>
    </w:p>
    <w:p>
      <w:pPr>
        <w:pStyle w:val="Heading1"/>
      </w:pPr>
      <w:r>
        <w:rPr>
          <w:rFonts w:ascii="Times New Roman" w:hAnsi="Times New Roman" w:eastAsia="Times New Roman" w:cs="Times New Roman"/>
          <w:color w:val="000000"/>
          <w:sz w:val="24"/>
        </w:rPr>
        <w:t>Introducción</w:t>
      </w:r>
    </w:p>
    <w:p>
      <w:pPr/>
      <w:r>
        <w:rPr>
          <w:rFonts w:ascii="Times New Roman" w:hAnsi="Times New Roman" w:eastAsia="Times New Roman" w:cs="Times New Roman"/>
          <w:color w:val="000000"/>
          <w:sz w:val="24"/>
        </w:rPr>
        <w:t>Se aplicó regresión lineal múltiple para estimar el precio del dólar, el nivel de glucosa y el consumo de energía eléctrica. Se evaluó cada modelo con datos de prueba, se interpretaron sus variables y se creó una aplicación web para predecir. Los R² obtenidos fueron 0,879, 0,681 y 0,897, respectivamente.</w:t>
      </w:r>
    </w:p>
    <w:p>
      <w:pPr>
        <w:pStyle w:val="Heading1"/>
      </w:pPr>
      <w:r>
        <w:rPr>
          <w:rFonts w:ascii="Times New Roman" w:hAnsi="Times New Roman" w:eastAsia="Times New Roman" w:cs="Times New Roman"/>
          <w:color w:val="000000"/>
          <w:sz w:val="24"/>
        </w:rPr>
        <w:t>Metodología</w:t>
      </w:r>
    </w:p>
    <w:p>
      <w:pPr/>
      <w:r>
        <w:rPr>
          <w:rFonts w:ascii="Times New Roman" w:hAnsi="Times New Roman" w:eastAsia="Times New Roman" w:cs="Times New Roman"/>
          <w:color w:val="000000"/>
          <w:sz w:val="24"/>
        </w:rPr>
        <w:t>Se revisaron los tres archivos CSV: dólar con 500 observaciones, glucosa con 2000 y energía con 10 000. En todos se comprobaron las columnas requeridas, los valores numéricos y la ausencia de datos vacíos o duplicados. Cada ejercicio utilizó tres variables independientes y una variable dependiente. Se generaron gráficas de dispersión para observar la relación de cada entrada con el valor que se desea predecir.</w:t>
      </w:r>
    </w:p>
    <w:p>
      <w:pPr/>
      <w:r>
        <w:rPr>
          <w:rFonts w:ascii="Times New Roman" w:hAnsi="Times New Roman" w:eastAsia="Times New Roman" w:cs="Times New Roman"/>
          <w:color w:val="000000"/>
          <w:sz w:val="24"/>
        </w:rPr>
        <w:t>Se separó el 80 % de las observaciones para entrenamiento y el 20 % para prueba. En dólar, la separación siguió el orden de los días: se entrenó con los primeros 400 y se evaluó con los últimos 100. En glucosa y energía se usó una separación aleatoria reproducible. Se ajustó una regresión lineal múltiple para cada conjunto. Luego se calcularon el error cuadrático medio (MSE), su raíz (RMSE) y el coeficiente de determinación (R²) sobre datos de prueba. Finalmente, se volvió a entrenar cada modelo con todas las observaciones y se exportó mediante joblib para la aplicación web.</w:t>
      </w:r>
    </w:p>
    <w:p>
      <w:pPr>
        <w:pStyle w:val="Heading1"/>
      </w:pPr>
      <w:r>
        <w:rPr>
          <w:rFonts w:ascii="Times New Roman" w:hAnsi="Times New Roman" w:eastAsia="Times New Roman" w:cs="Times New Roman"/>
          <w:color w:val="000000"/>
          <w:sz w:val="24"/>
        </w:rPr>
        <w:t>Resultados y análisis</w:t>
      </w:r>
    </w:p>
    <w:p>
      <w:pPr>
        <w:keepNext/>
        <w:ind w:firstLine="0"/>
      </w:pPr>
      <w:r>
        <w:rPr>
          <w:rFonts w:ascii="Times New Roman" w:hAnsi="Times New Roman" w:eastAsia="Times New Roman" w:cs="Times New Roman"/>
          <w:b/>
          <w:color w:val="000000"/>
          <w:sz w:val="24"/>
        </w:rPr>
        <w:t>Tabla 1</w:t>
      </w:r>
    </w:p>
    <w:p>
      <w:pPr>
        <w:keepNext/>
        <w:ind w:firstLine="0"/>
      </w:pPr>
      <w:r>
        <w:rPr>
          <w:rFonts w:ascii="Times New Roman" w:hAnsi="Times New Roman" w:eastAsia="Times New Roman" w:cs="Times New Roman"/>
          <w:i/>
          <w:color w:val="000000"/>
          <w:sz w:val="24"/>
        </w:rPr>
        <w:t>Desempeño de los modelos en el conjunto de prueba</w:t>
      </w:r>
    </w:p>
    <w:tbl>
      <w:tblPr>
        <w:tblW w:type="auto" w:w="0"/>
        <w:tblLayout w:type="fixed"/>
        <w:tblLook w:firstColumn="1" w:firstRow="1" w:lastColumn="0" w:lastRow="0" w:noHBand="0" w:noVBand="1" w:val="04A0"/>
      </w:tblPr>
      <w:tblGrid>
        <w:gridCol w:w="2340"/>
        <w:gridCol w:w="2340"/>
        <w:gridCol w:w="2340"/>
        <w:gridCol w:w="2340"/>
      </w:tblGrid>
      <w:tr>
        <w:tc>
          <w:tcPr>
            <w:tcW w:type="dxa" w:w="2448"/>
            <w:vAlign w:val="center"/>
            <w:tcBorders>
              <w:top w:val="single" w:sz="6" w:color="000000"/>
              <w:bottom w:val="single" w:sz="6" w:color="000000"/>
            </w:tcBorders>
          </w:tcPr>
          <w:p>
            <w:pPr>
              <w:spacing w:line="240" w:lineRule="auto" w:before="60" w:after="60"/>
              <w:ind w:firstLine="0"/>
              <w:jc w:val="left"/>
            </w:pPr>
            <w:r>
              <w:rPr>
                <w:rFonts w:ascii="Times New Roman" w:hAnsi="Times New Roman"/>
                <w:b/>
                <w:color w:val="000000"/>
                <w:sz w:val="24"/>
              </w:rPr>
              <w:t>Ejercicio</w:t>
            </w:r>
          </w:p>
        </w:tc>
        <w:tc>
          <w:tcPr>
            <w:tcW w:type="dxa" w:w="2232"/>
            <w:vAlign w:val="center"/>
            <w:tcBorders>
              <w:top w:val="single" w:sz="6" w:color="000000"/>
              <w:bottom w:val="single" w:sz="6" w:color="000000"/>
            </w:tcBorders>
          </w:tcPr>
          <w:p>
            <w:pPr>
              <w:spacing w:line="240" w:lineRule="auto" w:before="60" w:after="60"/>
              <w:ind w:firstLine="0"/>
              <w:jc w:val="center"/>
            </w:pPr>
            <w:r>
              <w:rPr>
                <w:rFonts w:ascii="Times New Roman" w:hAnsi="Times New Roman"/>
                <w:b/>
                <w:color w:val="000000"/>
                <w:sz w:val="24"/>
              </w:rPr>
              <w:t>MSE</w:t>
            </w:r>
          </w:p>
        </w:tc>
        <w:tc>
          <w:tcPr>
            <w:tcW w:type="dxa" w:w="2232"/>
            <w:vAlign w:val="center"/>
            <w:tcBorders>
              <w:top w:val="single" w:sz="6" w:color="000000"/>
              <w:bottom w:val="single" w:sz="6" w:color="000000"/>
            </w:tcBorders>
          </w:tcPr>
          <w:p>
            <w:pPr>
              <w:spacing w:line="240" w:lineRule="auto" w:before="60" w:after="60"/>
              <w:ind w:firstLine="0"/>
              <w:jc w:val="center"/>
            </w:pPr>
            <w:r>
              <w:rPr>
                <w:rFonts w:ascii="Times New Roman" w:hAnsi="Times New Roman"/>
                <w:b/>
                <w:color w:val="000000"/>
                <w:sz w:val="24"/>
              </w:rPr>
              <w:t>RMSE</w:t>
            </w:r>
          </w:p>
        </w:tc>
        <w:tc>
          <w:tcPr>
            <w:tcW w:type="dxa" w:w="2448"/>
            <w:vAlign w:val="center"/>
            <w:tcBorders>
              <w:top w:val="single" w:sz="6" w:color="000000"/>
              <w:bottom w:val="single" w:sz="6" w:color="000000"/>
            </w:tcBorders>
          </w:tcPr>
          <w:p>
            <w:pPr>
              <w:spacing w:line="240" w:lineRule="auto" w:before="60" w:after="60"/>
              <w:ind w:firstLine="0"/>
              <w:jc w:val="center"/>
            </w:pPr>
            <w:r>
              <w:rPr>
                <w:rFonts w:ascii="Times New Roman" w:hAnsi="Times New Roman"/>
                <w:b/>
                <w:color w:val="000000"/>
                <w:sz w:val="24"/>
              </w:rPr>
              <w:t>R²</w:t>
            </w:r>
          </w:p>
        </w:tc>
      </w:tr>
      <w:tr>
        <w:tc>
          <w:tcPr>
            <w:tcW w:type="dxa" w:w="2448"/>
            <w:vAlign w:val="center"/>
          </w:tcPr>
          <w:p>
            <w:pPr>
              <w:spacing w:line="240" w:lineRule="auto" w:before="60" w:after="60"/>
              <w:ind w:firstLine="0"/>
              <w:jc w:val="left"/>
            </w:pPr>
            <w:r>
              <w:rPr>
                <w:rFonts w:ascii="Times New Roman" w:hAnsi="Times New Roman"/>
                <w:b w:val="0"/>
                <w:color w:val="000000"/>
                <w:sz w:val="24"/>
              </w:rPr>
              <w:t>Dólar</w:t>
            </w:r>
          </w:p>
        </w:tc>
        <w:tc>
          <w:tcPr>
            <w:tcW w:type="dxa" w:w="2232"/>
            <w:vAlign w:val="center"/>
          </w:tcPr>
          <w:p>
            <w:pPr>
              <w:spacing w:line="240" w:lineRule="auto" w:before="60" w:after="60"/>
              <w:ind w:firstLine="0"/>
              <w:jc w:val="center"/>
            </w:pPr>
            <w:r>
              <w:rPr>
                <w:rFonts w:ascii="Times New Roman" w:hAnsi="Times New Roman"/>
                <w:b w:val="0"/>
                <w:color w:val="000000"/>
                <w:sz w:val="24"/>
              </w:rPr>
              <w:t>2905,71</w:t>
            </w:r>
          </w:p>
        </w:tc>
        <w:tc>
          <w:tcPr>
            <w:tcW w:type="dxa" w:w="2232"/>
            <w:vAlign w:val="center"/>
          </w:tcPr>
          <w:p>
            <w:pPr>
              <w:spacing w:line="240" w:lineRule="auto" w:before="60" w:after="60"/>
              <w:ind w:firstLine="0"/>
              <w:jc w:val="center"/>
            </w:pPr>
            <w:r>
              <w:rPr>
                <w:rFonts w:ascii="Times New Roman" w:hAnsi="Times New Roman"/>
                <w:b w:val="0"/>
                <w:color w:val="000000"/>
                <w:sz w:val="24"/>
              </w:rPr>
              <w:t>53,90</w:t>
            </w:r>
          </w:p>
        </w:tc>
        <w:tc>
          <w:tcPr>
            <w:tcW w:type="dxa" w:w="2448"/>
            <w:vAlign w:val="center"/>
          </w:tcPr>
          <w:p>
            <w:pPr>
              <w:spacing w:line="240" w:lineRule="auto" w:before="60" w:after="60"/>
              <w:ind w:firstLine="0"/>
              <w:jc w:val="center"/>
            </w:pPr>
            <w:r>
              <w:rPr>
                <w:rFonts w:ascii="Times New Roman" w:hAnsi="Times New Roman"/>
                <w:b w:val="0"/>
                <w:color w:val="000000"/>
                <w:sz w:val="24"/>
              </w:rPr>
              <w:t>0,879</w:t>
            </w:r>
          </w:p>
        </w:tc>
      </w:tr>
      <w:tr>
        <w:tc>
          <w:tcPr>
            <w:tcW w:type="dxa" w:w="2448"/>
            <w:vAlign w:val="center"/>
          </w:tcPr>
          <w:p>
            <w:pPr>
              <w:spacing w:line="240" w:lineRule="auto" w:before="60" w:after="60"/>
              <w:ind w:firstLine="0"/>
              <w:jc w:val="left"/>
            </w:pPr>
            <w:r>
              <w:rPr>
                <w:rFonts w:ascii="Times New Roman" w:hAnsi="Times New Roman"/>
                <w:b w:val="0"/>
                <w:color w:val="000000"/>
                <w:sz w:val="24"/>
              </w:rPr>
              <w:t>Glucosa</w:t>
            </w:r>
          </w:p>
        </w:tc>
        <w:tc>
          <w:tcPr>
            <w:tcW w:type="dxa" w:w="2232"/>
            <w:vAlign w:val="center"/>
          </w:tcPr>
          <w:p>
            <w:pPr>
              <w:spacing w:line="240" w:lineRule="auto" w:before="60" w:after="60"/>
              <w:ind w:firstLine="0"/>
              <w:jc w:val="center"/>
            </w:pPr>
            <w:r>
              <w:rPr>
                <w:rFonts w:ascii="Times New Roman" w:hAnsi="Times New Roman"/>
                <w:b w:val="0"/>
                <w:color w:val="000000"/>
                <w:sz w:val="24"/>
              </w:rPr>
              <w:t>233,69</w:t>
            </w:r>
          </w:p>
        </w:tc>
        <w:tc>
          <w:tcPr>
            <w:tcW w:type="dxa" w:w="2232"/>
            <w:vAlign w:val="center"/>
          </w:tcPr>
          <w:p>
            <w:pPr>
              <w:spacing w:line="240" w:lineRule="auto" w:before="60" w:after="60"/>
              <w:ind w:firstLine="0"/>
              <w:jc w:val="center"/>
            </w:pPr>
            <w:r>
              <w:rPr>
                <w:rFonts w:ascii="Times New Roman" w:hAnsi="Times New Roman"/>
                <w:b w:val="0"/>
                <w:color w:val="000000"/>
                <w:sz w:val="24"/>
              </w:rPr>
              <w:t>15,29</w:t>
            </w:r>
          </w:p>
        </w:tc>
        <w:tc>
          <w:tcPr>
            <w:tcW w:type="dxa" w:w="2448"/>
            <w:vAlign w:val="center"/>
          </w:tcPr>
          <w:p>
            <w:pPr>
              <w:spacing w:line="240" w:lineRule="auto" w:before="60" w:after="60"/>
              <w:ind w:firstLine="0"/>
              <w:jc w:val="center"/>
            </w:pPr>
            <w:r>
              <w:rPr>
                <w:rFonts w:ascii="Times New Roman" w:hAnsi="Times New Roman"/>
                <w:b w:val="0"/>
                <w:color w:val="000000"/>
                <w:sz w:val="24"/>
              </w:rPr>
              <w:t>0,681</w:t>
            </w:r>
          </w:p>
        </w:tc>
      </w:tr>
      <w:tr>
        <w:tc>
          <w:tcPr>
            <w:tcW w:type="dxa" w:w="2448"/>
            <w:vAlign w:val="center"/>
            <w:tcBorders>
              <w:bottom w:val="single" w:sz="6" w:color="000000"/>
            </w:tcBorders>
          </w:tcPr>
          <w:p>
            <w:pPr>
              <w:spacing w:line="240" w:lineRule="auto" w:before="60" w:after="60"/>
              <w:ind w:firstLine="0"/>
              <w:jc w:val="left"/>
            </w:pPr>
            <w:r>
              <w:rPr>
                <w:rFonts w:ascii="Times New Roman" w:hAnsi="Times New Roman"/>
                <w:b w:val="0"/>
                <w:color w:val="000000"/>
                <w:sz w:val="24"/>
              </w:rPr>
              <w:t>Energía</w:t>
            </w:r>
          </w:p>
        </w:tc>
        <w:tc>
          <w:tcPr>
            <w:tcW w:type="dxa" w:w="2232"/>
            <w:vAlign w:val="center"/>
            <w:tcBorders>
              <w:bottom w:val="single" w:sz="6" w:color="000000"/>
            </w:tcBorders>
          </w:tcPr>
          <w:p>
            <w:pPr>
              <w:spacing w:line="240" w:lineRule="auto" w:before="60" w:after="60"/>
              <w:ind w:firstLine="0"/>
              <w:jc w:val="center"/>
            </w:pPr>
            <w:r>
              <w:rPr>
                <w:rFonts w:ascii="Times New Roman" w:hAnsi="Times New Roman"/>
                <w:b w:val="0"/>
                <w:color w:val="000000"/>
                <w:sz w:val="24"/>
              </w:rPr>
              <w:t>429,52</w:t>
            </w:r>
          </w:p>
        </w:tc>
        <w:tc>
          <w:tcPr>
            <w:tcW w:type="dxa" w:w="2232"/>
            <w:vAlign w:val="center"/>
            <w:tcBorders>
              <w:bottom w:val="single" w:sz="6" w:color="000000"/>
            </w:tcBorders>
          </w:tcPr>
          <w:p>
            <w:pPr>
              <w:spacing w:line="240" w:lineRule="auto" w:before="60" w:after="60"/>
              <w:ind w:firstLine="0"/>
              <w:jc w:val="center"/>
            </w:pPr>
            <w:r>
              <w:rPr>
                <w:rFonts w:ascii="Times New Roman" w:hAnsi="Times New Roman"/>
                <w:b w:val="0"/>
                <w:color w:val="000000"/>
                <w:sz w:val="24"/>
              </w:rPr>
              <w:t>20,72</w:t>
            </w:r>
          </w:p>
        </w:tc>
        <w:tc>
          <w:tcPr>
            <w:tcW w:type="dxa" w:w="2448"/>
            <w:vAlign w:val="center"/>
            <w:tcBorders>
              <w:bottom w:val="single" w:sz="6" w:color="000000"/>
            </w:tcBorders>
          </w:tcPr>
          <w:p>
            <w:pPr>
              <w:spacing w:line="240" w:lineRule="auto" w:before="60" w:after="60"/>
              <w:ind w:firstLine="0"/>
              <w:jc w:val="center"/>
            </w:pPr>
            <w:r>
              <w:rPr>
                <w:rFonts w:ascii="Times New Roman" w:hAnsi="Times New Roman"/>
                <w:b w:val="0"/>
                <w:color w:val="000000"/>
                <w:sz w:val="24"/>
              </w:rPr>
              <w:t>0,897</w:t>
            </w:r>
          </w:p>
        </w:tc>
      </w:tr>
    </w:tbl>
    <w:p>
      <w:pPr>
        <w:ind w:firstLine="0"/>
      </w:pPr>
      <w:r>
        <w:rPr>
          <w:rFonts w:ascii="Times New Roman" w:hAnsi="Times New Roman" w:eastAsia="Times New Roman" w:cs="Times New Roman"/>
          <w:i/>
          <w:color w:val="000000"/>
          <w:sz w:val="24"/>
        </w:rPr>
        <w:t xml:space="preserve">Nota. </w:t>
      </w:r>
      <w:r>
        <w:rPr>
          <w:rFonts w:ascii="Times New Roman" w:hAnsi="Times New Roman" w:eastAsia="Times New Roman" w:cs="Times New Roman"/>
          <w:color w:val="000000"/>
          <w:sz w:val="24"/>
        </w:rPr>
        <w:t>MSE y RMSE se expresan en unidades distintas según el ejercicio. Un MSE o RMSE menor indica menos error; un R² más cercano a 1 indica mayor variación explicada.</w:t>
      </w:r>
    </w:p>
    <w:p>
      <w:pPr>
        <w:pStyle w:val="Heading2"/>
      </w:pPr>
      <w:r>
        <w:rPr>
          <w:rFonts w:ascii="Times New Roman" w:hAnsi="Times New Roman" w:eastAsia="Times New Roman" w:cs="Times New Roman"/>
          <w:color w:val="000000"/>
          <w:sz w:val="24"/>
        </w:rPr>
        <w:t>Precio del dólar</w:t>
      </w:r>
    </w:p>
    <w:p>
      <w:pPr/>
      <w:r>
        <w:rPr>
          <w:rFonts w:ascii="Times New Roman" w:hAnsi="Times New Roman" w:eastAsia="Times New Roman" w:cs="Times New Roman"/>
          <w:color w:val="000000"/>
          <w:sz w:val="24"/>
        </w:rPr>
        <w:t>El modelo obtuvo un MSE de 2905,71, un RMSE de 53,90 y un R² de 0,879 al predecir los últimos 100 días. En el modelo final, cada día adicional se relacionó con un aumento aproximado de 5,00 unidades en el precio. Un aumento de 0,01 en la inflación se relacionó con una disminución de 3,38 unidades, y un punto porcentual adicional de tasa de interés con una disminución de 2,53 unidades, manteniendo constantes las demás variables.</w:t>
      </w:r>
    </w:p>
    <w:p>
      <w:pPr/>
      <w:r>
        <w:rPr>
          <w:rFonts w:ascii="Times New Roman" w:hAnsi="Times New Roman" w:eastAsia="Times New Roman" w:cs="Times New Roman"/>
          <w:color w:val="000000"/>
          <w:sz w:val="24"/>
        </w:rPr>
        <w:t>La gráfica de dispersión mostró una relación positiva muy clara entre el día y el precio. La inflación y la tasa de interés mostraron relaciones mucho más débiles. Los coeficientes estandarizados confirmaron que el día fue la variable de mayor importancia relativa en este conjunto. La evaluación con días posteriores permite medir mejor el comportamiento temporal, aunque no garantiza que la tendencia continúe fuera del periodo observado.</w:t>
      </w:r>
    </w:p>
    <w:p>
      <w:pPr>
        <w:pStyle w:val="Heading2"/>
      </w:pPr>
      <w:r>
        <w:rPr>
          <w:rFonts w:ascii="Times New Roman" w:hAnsi="Times New Roman" w:eastAsia="Times New Roman" w:cs="Times New Roman"/>
          <w:color w:val="000000"/>
          <w:sz w:val="24"/>
        </w:rPr>
        <w:t>Nivel de glucosa</w:t>
      </w:r>
    </w:p>
    <w:p>
      <w:pPr/>
      <w:r>
        <w:rPr>
          <w:rFonts w:ascii="Times New Roman" w:hAnsi="Times New Roman" w:eastAsia="Times New Roman" w:cs="Times New Roman"/>
          <w:color w:val="000000"/>
          <w:sz w:val="24"/>
        </w:rPr>
        <w:t>El modelo de glucosa obtuvo un MSE de 233,69, un RMSE de 15,29 mg/dL y un R² de 0,681. En el modelo final, un año adicional de edad se relacionó con 1,23 mg/dL más de glucosa; una unidad de IMC, con 0,88 mg/dL más; y una hora semanal adicional de actividad física, con 2,01 mg/dL menos. Estas asociaciones corresponden al modelo y no demuestran efectos causales.</w:t>
      </w:r>
    </w:p>
    <w:p>
      <w:pPr/>
      <w:r>
        <w:rPr>
          <w:rFonts w:ascii="Times New Roman" w:hAnsi="Times New Roman" w:eastAsia="Times New Roman" w:cs="Times New Roman"/>
          <w:color w:val="000000"/>
          <w:sz w:val="24"/>
        </w:rPr>
        <w:t>La edad presentó la relación visual más clara con la glucosa. Al comparar los coeficientes estandarizados, la edad también tuvo el mayor peso relativo, seguida de la actividad física y del IMC. El R² indica que una parte importante de la variación de glucosa permanece sin explicar por estas tres entradas.</w:t>
      </w:r>
    </w:p>
    <w:p>
      <w:pPr>
        <w:pStyle w:val="Heading2"/>
      </w:pPr>
      <w:r>
        <w:rPr>
          <w:rFonts w:ascii="Times New Roman" w:hAnsi="Times New Roman" w:eastAsia="Times New Roman" w:cs="Times New Roman"/>
          <w:color w:val="000000"/>
          <w:sz w:val="24"/>
        </w:rPr>
        <w:t>Consumo de energía</w:t>
      </w:r>
    </w:p>
    <w:p>
      <w:pPr/>
      <w:r>
        <w:rPr>
          <w:rFonts w:ascii="Times New Roman" w:hAnsi="Times New Roman" w:eastAsia="Times New Roman" w:cs="Times New Roman"/>
          <w:color w:val="000000"/>
          <w:sz w:val="24"/>
        </w:rPr>
        <w:t>El modelo de energía obtuvo un MSE de 429,52, un RMSE de 20,72 kWh y un R² de 0,897. En el modelo final, un grado Celsius adicional se relacionó con 9,97 kWh más de consumo; avanzar una hora, con 5,01 kWh más; y avanzar una unidad en el número de día de la semana, con 3,09 kWh menos. La temperatura tuvo el mayor coeficiente estandarizado en valor absoluto, seguida de la hora.</w:t>
      </w:r>
    </w:p>
    <w:p>
      <w:pPr/>
      <w:r>
        <w:rPr>
          <w:rFonts w:ascii="Times New Roman" w:hAnsi="Times New Roman" w:eastAsia="Times New Roman" w:cs="Times New Roman"/>
          <w:color w:val="000000"/>
          <w:sz w:val="24"/>
        </w:rPr>
        <w:t>Las gráficas mostraron relaciones positivas con temperatura y hora, y una relación débil con el día de la semana. La regresión trata hora y día como números lineales y no representa sus cambios cíclicos, como el paso de 24 a 1 o de domingo a lunes.</w:t>
      </w:r>
    </w:p>
    <w:p>
      <w:pPr>
        <w:pStyle w:val="Heading1"/>
      </w:pPr>
      <w:r>
        <w:rPr>
          <w:rFonts w:ascii="Times New Roman" w:hAnsi="Times New Roman" w:eastAsia="Times New Roman" w:cs="Times New Roman"/>
          <w:color w:val="000000"/>
          <w:sz w:val="24"/>
        </w:rPr>
        <w:t>Conclusiones</w:t>
      </w:r>
    </w:p>
    <w:p>
      <w:pPr/>
      <w:r>
        <w:rPr>
          <w:rFonts w:ascii="Times New Roman" w:hAnsi="Times New Roman" w:eastAsia="Times New Roman" w:cs="Times New Roman"/>
          <w:color w:val="000000"/>
          <w:sz w:val="24"/>
        </w:rPr>
        <w:t>Los tres modelos cumplieron los objetivos del laboratorio. Energía tuvo el mayor R² (0,897), seguido de dólar (0,879) y glucosa (0,681). Las variables de mayor importancia fueron la temperatura, el día y la edad, respectivamente. Los modelos se exportaron para la aplicación web.</w:t>
      </w:r>
    </w:p>
    <w:p>
      <w:pPr/>
      <w:r>
        <w:rPr>
          <w:rFonts w:ascii="Times New Roman" w:hAnsi="Times New Roman" w:eastAsia="Times New Roman" w:cs="Times New Roman"/>
          <w:color w:val="000000"/>
          <w:sz w:val="24"/>
        </w:rPr>
        <w:t>Las predicciones deben usarse dentro de los rangos observados. Extrapolar el dólar puede reducir la precisión y la glucosa estimada no reemplaza una medición clínica. Se recomienda estudiar modelos que representen los ciclos de hora y día de la semana.</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right"/>
    </w:pPr>
    <w:r>
      <w:rPr>
        <w:rFonts w:ascii="Times New Roman" w:hAnsi="Times New Roman"/>
        <w:color w:val="000000"/>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ind w:firstLine="0"/>
      <w:contextualSpacing/>
    </w:pPr>
    <w:rPr>
      <w:rFonts w:ascii="Times New Roman" w:hAnsi="Times New Roman" w:eastAsia="Times New Roman" w:cs="Times New Roman"/>
      <w:b/>
      <w:i w:val="0"/>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