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other than a Saturday, Sunday, or other day on which commercial banks in New York, New York, or in the principal place of business of Financial Institution, are authorized or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12,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9.14.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6.11</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pPr>
        <w:pStyle w:val="ListParagraph"/>
        <w:numPr>
          <w:ilvl w:val="1"/>
          <w:numId w:val="7"/>
        </w:numPr>
        <w:tabs>
          <w:tab w:val="left" w:pos="874"/>
        </w:tabs>
        <w:spacing w:line="247" w:lineRule="auto"/>
        <w:ind w:right="117"/>
      </w:pPr>
      <w:r>
        <w:rPr>
          <w:color w:val="010202"/>
        </w:rPr>
        <w:t>7.1</w:t>
        <w:tab/>
      </w:r>
      <w:r>
        <w:rPr>
          <w:color w:val="010202"/>
        </w:rPr>
        <w:t>Events of Default.  The occurrence of any one or more of the following shall constitute an "Event of Default" under this Agreement:</w:t>
      </w:r>
    </w:p>
    <w:p>
      <w:pPr>
        <w:pStyle w:val="ListParagraph"/>
        <w:numPr>
          <w:ilvl w:val="1"/>
          <w:numId w:val="7"/>
        </w:numPr>
        <w:spacing w:line="247" w:lineRule="auto"/>
        <w:ind w:right="117" w:left="360" w:hanging="360"/>
        <w:tabs>
          <w:tab w:val="left" w:pos="360"/>
        </w:tabs>
      </w:pPr>
      <w:r>
        <w:rPr>
          <w:color w:val="010202"/>
        </w:rPr>
        <w:t>(a)</w:t>
        <w:tab/>
      </w:r>
      <w:r>
        <w:rPr>
          <w:color w:val="010202"/>
        </w:rPr>
        <w:t>any representation or warranty made by Merchant or any Owner/Guarantor in this Agreement, any Ancillary Document, or any application or information furnished to Purchaser proves to have been false or misleading in any material respect when made;</w:t>
      </w:r>
    </w:p>
    <w:p>
      <w:pPr>
        <w:pStyle w:val="ListParagraph"/>
        <w:numPr>
          <w:ilvl w:val="1"/>
          <w:numId w:val="7"/>
        </w:numPr>
        <w:spacing w:line="247" w:lineRule="auto"/>
        <w:ind w:right="117" w:left="360" w:hanging="360"/>
        <w:tabs>
          <w:tab w:val="left" w:pos="360"/>
        </w:tabs>
      </w:pPr>
      <w:r>
        <w:rPr>
          <w:color w:val="010202"/>
        </w:rPr>
        <w:t>(b)</w:t>
        <w:tab/>
      </w:r>
      <w:r>
        <w:rPr>
          <w:color w:val="010202"/>
        </w:rPr>
        <w:t>Merchant revokes, blocks, stops, rescinds, or attempts to revoke, block, stop, or rescind the authorization for ACH Debits granted under Section 2, or otherwise interferes with any ACH Debit permitted by this Agreement, other than in connection with a good-faith Reconciliation Request made in accordance with Section 3;</w:t>
      </w:r>
    </w:p>
    <w:p>
      <w:pPr>
        <w:pStyle w:val="ListParagraph"/>
        <w:numPr>
          <w:ilvl w:val="1"/>
          <w:numId w:val="7"/>
        </w:numPr>
        <w:spacing w:line="247" w:lineRule="auto"/>
        <w:ind w:right="117" w:left="360" w:hanging="360"/>
        <w:tabs>
          <w:tab w:val="left" w:pos="360"/>
        </w:tabs>
      </w:pPr>
      <w:r>
        <w:rPr>
          <w:color w:val="010202"/>
        </w:rPr>
        <w:t>(c)</w:t>
        <w:tab/>
      </w:r>
      <w:r>
        <w:rPr>
          <w:color w:val="010202"/>
        </w:rPr>
        <w:t>Merchant changes or closes the Specified Account, changes the Financial Institution, or directs or permits Receipts to be deposited into any account other than the Specified Account, without the prior written consent of Purchaser required by Section 2.3;</w:t>
      </w:r>
    </w:p>
    <w:p>
      <w:pPr>
        <w:pStyle w:val="ListParagraph"/>
        <w:numPr>
          <w:ilvl w:val="1"/>
          <w:numId w:val="7"/>
        </w:numPr>
        <w:spacing w:line="247" w:lineRule="auto"/>
        <w:ind w:right="117" w:left="360" w:hanging="360"/>
        <w:tabs>
          <w:tab w:val="left" w:pos="360"/>
        </w:tabs>
      </w:pPr>
      <w:r>
        <w:rPr>
          <w:color w:val="010202"/>
        </w:rPr>
        <w:t>(d)</w:t>
        <w:tab/>
      </w:r>
      <w:r>
        <w:rPr>
          <w:color w:val="010202"/>
        </w:rPr>
        <w:t>Merchant enters into any arrangement, agreement, or transaction for additional sales-based financing, merchant cash advance, or factoring of its Receipts in breach of Section 6.9 (commonly referred to as "stacking");</w:t>
      </w:r>
    </w:p>
    <w:p>
      <w:pPr>
        <w:pStyle w:val="ListParagraph"/>
        <w:numPr>
          <w:ilvl w:val="1"/>
          <w:numId w:val="7"/>
        </w:numPr>
        <w:spacing w:line="247" w:lineRule="auto"/>
        <w:ind w:right="117" w:left="360" w:hanging="360"/>
        <w:tabs>
          <w:tab w:val="left" w:pos="360"/>
        </w:tabs>
      </w:pPr>
      <w:r>
        <w:rPr>
          <w:color w:val="010202"/>
        </w:rPr>
        <w:t>(e)</w:t>
        <w:tab/>
      </w:r>
      <w:r>
        <w:rPr>
          <w:color w:val="010202"/>
        </w:rPr>
        <w:t>Merchant sells, transfers, assigns, pledges, or grants a Lien upon the Purchased Receipts or any portion thereof in breach of Section 6.5, or the Purchased Receipts otherwise become subject to any Lien in favor of any Person other than Purchaser;</w:t>
      </w:r>
    </w:p>
    <w:p>
      <w:pPr>
        <w:pStyle w:val="ListParagraph"/>
        <w:numPr>
          <w:ilvl w:val="1"/>
          <w:numId w:val="7"/>
        </w:numPr>
        <w:spacing w:line="247" w:lineRule="auto"/>
        <w:ind w:right="117" w:left="360" w:hanging="360"/>
        <w:tabs>
          <w:tab w:val="left" w:pos="360"/>
        </w:tabs>
      </w:pPr>
      <w:r>
        <w:rPr>
          <w:color w:val="010202"/>
        </w:rPr>
        <w:t>(f)</w:t>
        <w:tab/>
      </w:r>
      <w:r>
        <w:rPr>
          <w:color w:val="010202"/>
        </w:rPr>
        <w:t>Merchant ceases to conduct its business in the ordinary course, permanently closes or dissolves, or transfers or sells all or substantially all of its assets in breach of Section 6.6 or Section 6.11, other than a temporary closure permitted under Section 6.6;</w:t>
      </w:r>
    </w:p>
    <w:p>
      <w:pPr>
        <w:pStyle w:val="ListParagraph"/>
        <w:numPr>
          <w:ilvl w:val="1"/>
          <w:numId w:val="7"/>
        </w:numPr>
        <w:spacing w:line="247" w:lineRule="auto"/>
        <w:ind w:right="117" w:left="360" w:hanging="360"/>
        <w:tabs>
          <w:tab w:val="left" w:pos="360"/>
        </w:tabs>
      </w:pPr>
      <w:r>
        <w:rPr>
          <w:color w:val="010202"/>
        </w:rPr>
        <w:t>(g)</w:t>
        <w:tab/>
      </w:r>
      <w:r>
        <w:rPr>
          <w:color w:val="010202"/>
        </w:rPr>
        <w:t>Merchant or any Owner/Guarantor (i) commences, or has commenced against it and not dismissed within sixty (60) days, any proceeding under any bankruptcy, insolvency, or similar law, (ii) makes a general assignment for the benefit of creditors, (iii) has a receiver, trustee, or custodian appointed for it or for a substantial part of its property, or (iv) admits in writing its inability to pay its debts as they become due;</w:t>
      </w:r>
    </w:p>
    <w:p>
      <w:pPr>
        <w:pStyle w:val="ListParagraph"/>
        <w:numPr>
          <w:ilvl w:val="1"/>
          <w:numId w:val="7"/>
        </w:numPr>
        <w:spacing w:line="247" w:lineRule="auto"/>
        <w:ind w:right="117" w:left="360" w:hanging="360"/>
        <w:tabs>
          <w:tab w:val="left" w:pos="360"/>
        </w:tabs>
      </w:pPr>
      <w:r>
        <w:rPr>
          <w:color w:val="010202"/>
        </w:rPr>
        <w:t>(h)</w:t>
        <w:tab/>
      </w:r>
      <w:r>
        <w:rPr>
          <w:color w:val="010202"/>
        </w:rPr>
        <w:t>Merchant changes its name, entity type, or the location of its business in breach of Section 6.10, or forms, acquires, or uses any other entity or deposit account for the purpose of diverting Receipts or evading its obligations under this Agreement;</w:t>
      </w:r>
    </w:p>
    <w:p>
      <w:pPr>
        <w:pStyle w:val="ListParagraph"/>
        <w:numPr>
          <w:ilvl w:val="1"/>
          <w:numId w:val="7"/>
        </w:numPr>
        <w:spacing w:line="247" w:lineRule="auto"/>
        <w:ind w:right="117" w:left="360" w:hanging="360"/>
        <w:tabs>
          <w:tab w:val="left" w:pos="360"/>
        </w:tabs>
      </w:pPr>
      <w:r>
        <w:rPr>
          <w:color w:val="010202"/>
        </w:rPr>
        <w:t>(i)</w:t>
        <w:tab/>
      </w:r>
      <w:r>
        <w:rPr>
          <w:color w:val="010202"/>
        </w:rPr>
        <w:t>an ACH Debit is returned or dishonored for insufficient funds and, within five (5) Business Days after written notice from Purchaser, Merchant has neither paid the returned amount nor delivered a good-faith Reconciliation Request under Section 3; provided, that a return or dishonor resulting from a good-faith decline in Merchant’s Receipts, followed by a timely Reconciliation Request, shall not by itself constitute an Event of Default; or</w:t>
      </w:r>
    </w:p>
    <w:p>
      <w:pPr>
        <w:pStyle w:val="ListParagraph"/>
        <w:numPr>
          <w:ilvl w:val="1"/>
          <w:numId w:val="7"/>
        </w:numPr>
        <w:spacing w:line="247" w:lineRule="auto"/>
        <w:ind w:right="117" w:left="360" w:hanging="360"/>
        <w:tabs>
          <w:tab w:val="left" w:pos="360"/>
        </w:tabs>
      </w:pPr>
      <w:r>
        <w:rPr>
          <w:color w:val="010202"/>
        </w:rPr>
        <w:t>(j)</w:t>
        <w:tab/>
      </w:r>
      <w:r>
        <w:rPr>
          <w:color w:val="010202"/>
        </w:rPr>
        <w:t>Merchant or any Owner/Guarantor breaches, or fails to perform or observe, any other representation, warranty, covenant, agreement, or provision of this Agreement or any Ancillary Document, and, if such breach is capable of cure, fails to cure it within five (5) Business Days after written notice from Purchaser.</w:t>
      </w:r>
    </w:p>
    <w:p w:rsidR="00D3482D" w:rsidRPr="00EC45D9" w:rsidRDefault="00D3482D" w:rsidP="00D3482D">
      <w:pPr>
        <w:pStyle w:val="ListParagraph"/>
        <w:numPr>
          <w:ilvl w:val="1"/>
          <w:numId w:val="7"/>
        </w:numPr>
        <w:tabs>
          <w:tab w:val="left" w:pos="874"/>
        </w:tabs>
        <w:spacing w:line="247" w:lineRule="auto"/>
        <w:ind w:right="117"/>
      </w:pPr>
      <w:r>
        <w:rPr>
          <w:color w:val="010202"/>
        </w:rPr>
        <w:t>7.2</w:t>
        <w:tab/>
      </w:r>
      <w:r>
        <w:rPr>
          <w:color w:val="010202"/>
        </w:rPr>
        <w:t>Remedies.  Upon the occurrence of any Event of Default, Purchaser may, without any demand, protest, notice of protest or other notice of any kind, all of which Merchant hereby waives, proceed to protect and enforce its rights or remedies set forth below in this Section 7.2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Purchaser may recover the then-unpaid portion of the Purchased Amount, together with any periodic payments that have accrued and remain unpaid and all fees and charges (including reasonable legal fees) payable by Merchant under this Agreement, and may pursue all other rights and remedies available to it under this Agreement and applicable law.</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7.3</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9.2.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9 shall survive the satisfaction in full of the Merchant Obligations, and the provisions of Sections 2, 6.14, 7, 8, 9 and this Section 9,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9.13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9.13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the confidentiality obligations set forth in Section 9.15,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9.13.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pPr>
        <w:pStyle w:val="ListParagraph"/>
        <w:numPr>
          <w:ilvl w:val="1"/>
          <w:numId w:val="4"/>
        </w:numPr>
        <w:tabs>
          <w:tab w:val="left" w:pos="874"/>
        </w:tabs>
        <w:spacing w:before="63" w:line="247" w:lineRule="auto"/>
        <w:ind w:right="115"/>
        <w:jc w:val="left"/>
      </w:pPr>
      <w:r>
        <w:rPr>
          <w:color w:val="010202"/>
        </w:rPr>
        <w:t>9.15</w:t>
        <w:tab/>
      </w:r>
      <w:r>
        <w:rPr>
          <w:color w:val="010202"/>
        </w:rPr>
        <w:t>Confidentiality.  Merchant and each Owner/Guarantor shall keep confidential, and shall not disclose to any Person (other than to their respective attorneys, accountants and other professional advisors who have a need to know and who are bound to keep such information confidential, or as required by applicable law or valid legal process), the terms of this Agreement, including the Purchase Price, the Purchased Amount, the Specified Percentage, the periodic payment amounts, the fees and any other pricing or economic terms, and the existence and substance of the negotiations relating hereto.  The obligations set forth in this Section 9.15 shall survive the satisfaction, termination or expiration of this Agreement.</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«Merchant_Display_Name»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A</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«Merchant_Display_Name»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«Merchant_Display_Name»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«Merchant_Display_Name»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