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"Merchant__1" </w:instrText>
            </w:r>
            <w:r w:rsidR="003F0ECB" w:rsidRPr="005E1989">
              <w:rPr>
                <w:b w:val="0"/>
                <w:u w:val="none"/>
              </w:rPr>
              <w:fldChar w:fldCharType="separate"/>
            </w:r>
            <w:r w:rsidR="00D22932">
              <w:rPr>
                <w:b w:val="0"/>
                <w:noProof/>
                <w:u w:val="none"/>
              </w:rPr>
              <w:t>«Merchant__1»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"Merchant__1" </w:instrText>
      </w:r>
      <w:r w:rsidR="003F0ECB">
        <w:rPr>
          <w:color w:val="010202"/>
          <w:u w:val="single" w:color="010202"/>
          <w:sz w:val="20"/>
          <w:szCs w:val="20"/>
        </w:rPr>
        <w:fldChar w:fldCharType="separate"/>
      </w:r>
      <w:r w:rsidR="00D22932">
        <w:rPr>
          <w:noProof/>
          <w:color w:val="010202"/>
          <w:u w:val="single" w:color="010202"/>
          <w:sz w:val="20"/>
          <w:szCs w:val="20"/>
        </w:rPr>
        <w:t>«Merchant__1»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pPr>
        <w:pStyle w:val="BodyText"/>
        <w:jc w:val="center"/>
        <w:spacing w:after="200"/>
      </w:pPr>
      <w:r>
        <w:rPr>
          <w:color w:val="010202"/>
          <w:b/>
          <w:u w:val="single" w:color="010202"/>
          <w:sz w:val="22"/>
          <w:szCs w:val="22"/>
        </w:rPr>
        <w:t>CONSUMER NOTICE REGARDING DEBT-RELIEF COMPANIES</w:t>
      </w:r>
    </w:p>
    <w:p>
      <w:pPr>
        <w:pStyle w:val="BodyText"/>
        <w:jc w:val="center"/>
        <w:spacing w:after="200"/>
        <w:ind w:left="119" w:right="116"/>
      </w:pPr>
      <w:r>
        <w:rPr>
          <w:color w:val="010202"/>
          <w:i/>
          <w:sz w:val="20"/>
          <w:szCs w:val="20"/>
        </w:rPr>
        <w:t xml:space="preserve">For informational purposes only; not a contract and not legally binding.</w:t>
      </w:r>
    </w:p>
    <w:p>
      <w:pPr>
        <w:pStyle w:val="BodyText"/>
        <w:jc w:val="both"/>
        <w:spacing w:after="120"/>
        <w:ind w:left="119" w:right="116"/>
      </w:pPr>
      <w:r>
        <w:rPr>
          <w:color w:val="010202"/>
          <w:sz w:val="22"/>
          <w:szCs w:val="22"/>
        </w:rPr>
        <w:t xml:space="preserve">Some of the information in this guide is based, in part, on publicly available consumer-protection guidance from the Florida State Attorney General’s Office website and other consumer-protection sources regarding debt-relief and debt-settlement companies. This notice is intended to help protect customers from misleading or unauthorized third-party companies that may contact you after entering into a financial agreement.</w:t>
      </w:r>
    </w:p>
    <w:p>
      <w:pPr>
        <w:pStyle w:val="BodyText"/>
        <w:spacing w:before="200" w:after="80"/>
      </w:pPr>
      <w:r>
        <w:rPr>
          <w:color w:val="010202"/>
          <w:b/>
          <w:sz w:val="22"/>
          <w:szCs w:val="22"/>
        </w:rPr>
        <w:t>Be Aware of Third-Party Debt-Relief Companies!</w:t>
      </w:r>
    </w:p>
    <w:p>
      <w:pPr>
        <w:pStyle w:val="BodyText"/>
        <w:jc w:val="both"/>
        <w:spacing w:after="120"/>
        <w:ind w:left="119" w:right="116"/>
      </w:pPr>
      <w:r>
        <w:rPr>
          <w:color w:val="010202"/>
          <w:sz w:val="22"/>
          <w:szCs w:val="22"/>
        </w:rPr>
        <w:t xml:space="preserve">Certain companies advertise “debt relief,” “debt settlement,” or “negotiation services.” Consumer-protection agencies have warned that many such companies:</w:t>
      </w:r>
    </w:p>
    <w:p>
      <w:pPr>
        <w:pStyle w:val="ListParagraph"/>
        <w:numPr>
          <w:ilvl w:val="0"/>
          <w:numId w:val="1"/>
        </w:numPr>
        <w:spacing w:after="40"/>
        <w:ind w:left="720" w:hanging="360"/>
      </w:pPr>
      <w:r>
        <w:rPr>
          <w:color w:val="010202"/>
          <w:sz w:val="20"/>
          <w:szCs w:val="20"/>
        </w:rPr>
        <w:t>Make exaggerated or unrealistic promises</w:t>
      </w:r>
    </w:p>
    <w:p>
      <w:pPr>
        <w:pStyle w:val="ListParagraph"/>
        <w:numPr>
          <w:ilvl w:val="0"/>
          <w:numId w:val="1"/>
        </w:numPr>
        <w:spacing w:after="40"/>
        <w:ind w:left="720" w:hanging="360"/>
      </w:pPr>
      <w:r>
        <w:rPr>
          <w:color w:val="010202"/>
          <w:sz w:val="20"/>
          <w:szCs w:val="20"/>
        </w:rPr>
        <w:t>Charge large upfront or recurring fees</w:t>
      </w:r>
    </w:p>
    <w:p>
      <w:pPr>
        <w:pStyle w:val="ListParagraph"/>
        <w:numPr>
          <w:ilvl w:val="0"/>
          <w:numId w:val="1"/>
        </w:numPr>
        <w:spacing w:after="40"/>
        <w:ind w:left="720" w:hanging="360"/>
      </w:pPr>
      <w:r>
        <w:rPr>
          <w:color w:val="010202"/>
          <w:sz w:val="20"/>
          <w:szCs w:val="20"/>
        </w:rPr>
        <w:t>Provide little or no real benefit</w:t>
      </w:r>
    </w:p>
    <w:p>
      <w:pPr>
        <w:pStyle w:val="ListParagraph"/>
        <w:numPr>
          <w:ilvl w:val="0"/>
          <w:numId w:val="1"/>
        </w:numPr>
        <w:spacing w:after="40"/>
        <w:ind w:left="720" w:hanging="360"/>
      </w:pPr>
      <w:r>
        <w:rPr>
          <w:color w:val="010202"/>
          <w:sz w:val="20"/>
          <w:szCs w:val="20"/>
        </w:rPr>
        <w:t>Use aggressive, misleading, or pressure-based tactics</w:t>
      </w:r>
    </w:p>
    <w:p>
      <w:pPr>
        <w:pStyle w:val="ListParagraph"/>
        <w:numPr>
          <w:ilvl w:val="0"/>
          <w:numId w:val="1"/>
        </w:numPr>
        <w:spacing w:after="40"/>
        <w:ind w:left="720" w:hanging="360"/>
      </w:pPr>
      <w:r>
        <w:rPr>
          <w:color w:val="010202"/>
          <w:sz w:val="20"/>
          <w:szCs w:val="20"/>
        </w:rPr>
        <w:t>Encourage actions that may lead to financial harm</w:t>
      </w:r>
    </w:p>
    <w:p>
      <w:pPr>
        <w:pStyle w:val="BodyText"/>
        <w:jc w:val="both"/>
        <w:spacing w:after="120"/>
        <w:ind w:left="119" w:right="116"/>
      </w:pPr>
      <w:r>
        <w:rPr>
          <w:color w:val="010202"/>
          <w:sz w:val="22"/>
          <w:szCs w:val="22"/>
        </w:rPr>
        <w:t xml:space="preserve">These companies may contact you unexpectedly and may suggest that they can act on your behalf without your involvement.</w:t>
      </w:r>
    </w:p>
    <w:p>
      <w:pPr>
        <w:pStyle w:val="BodyText"/>
        <w:spacing w:before="200" w:after="80"/>
      </w:pPr>
      <w:r>
        <w:rPr>
          <w:color w:val="010202"/>
          <w:b/>
          <w:sz w:val="22"/>
          <w:szCs w:val="22"/>
        </w:rPr>
        <w:t>Common Red Flags</w:t>
      </w:r>
    </w:p>
    <w:p>
      <w:pPr>
        <w:pStyle w:val="BodyText"/>
        <w:jc w:val="both"/>
        <w:spacing w:after="120"/>
        <w:ind w:left="119" w:right="116"/>
      </w:pPr>
      <w:r>
        <w:rPr>
          <w:color w:val="010202"/>
          <w:sz w:val="22"/>
          <w:szCs w:val="22"/>
        </w:rPr>
        <w:t xml:space="preserve">Exercise caution if a company:</w:t>
      </w:r>
    </w:p>
    <w:p>
      <w:pPr>
        <w:pStyle w:val="ListParagraph"/>
        <w:numPr>
          <w:ilvl w:val="0"/>
          <w:numId w:val="1"/>
        </w:numPr>
        <w:spacing w:after="40"/>
        <w:ind w:left="720" w:hanging="360"/>
      </w:pPr>
      <w:r>
        <w:rPr>
          <w:color w:val="010202"/>
          <w:sz w:val="20"/>
          <w:szCs w:val="20"/>
        </w:rPr>
        <w:t>Promises to “eliminate” or drastically reduce your obligations</w:t>
      </w:r>
    </w:p>
    <w:p>
      <w:pPr>
        <w:pStyle w:val="ListParagraph"/>
        <w:numPr>
          <w:ilvl w:val="0"/>
          <w:numId w:val="1"/>
        </w:numPr>
        <w:spacing w:after="40"/>
        <w:ind w:left="720" w:hanging="360"/>
      </w:pPr>
      <w:r>
        <w:rPr>
          <w:color w:val="010202"/>
          <w:sz w:val="20"/>
          <w:szCs w:val="20"/>
        </w:rPr>
        <w:t>Guarantees results that sound too good to be true</w:t>
      </w:r>
    </w:p>
    <w:p>
      <w:pPr>
        <w:pStyle w:val="ListParagraph"/>
        <w:numPr>
          <w:ilvl w:val="0"/>
          <w:numId w:val="1"/>
        </w:numPr>
        <w:spacing w:after="40"/>
        <w:ind w:left="720" w:hanging="360"/>
      </w:pPr>
      <w:r>
        <w:rPr>
          <w:color w:val="010202"/>
          <w:sz w:val="20"/>
          <w:szCs w:val="20"/>
        </w:rPr>
        <w:t>Requests upfront or monthly fees for “representation”</w:t>
      </w:r>
    </w:p>
    <w:p>
      <w:pPr>
        <w:pStyle w:val="ListParagraph"/>
        <w:numPr>
          <w:ilvl w:val="0"/>
          <w:numId w:val="1"/>
        </w:numPr>
        <w:spacing w:after="40"/>
        <w:ind w:left="720" w:hanging="360"/>
      </w:pPr>
      <w:r>
        <w:rPr>
          <w:color w:val="010202"/>
          <w:sz w:val="20"/>
          <w:szCs w:val="20"/>
        </w:rPr>
        <w:t>Uses pressure-based sales tactics</w:t>
      </w:r>
    </w:p>
    <w:p>
      <w:pPr>
        <w:pStyle w:val="ListParagraph"/>
        <w:numPr>
          <w:ilvl w:val="0"/>
          <w:numId w:val="1"/>
        </w:numPr>
        <w:spacing w:after="40"/>
        <w:ind w:left="720" w:hanging="360"/>
      </w:pPr>
      <w:r>
        <w:rPr>
          <w:color w:val="010202"/>
          <w:sz w:val="20"/>
          <w:szCs w:val="20"/>
        </w:rPr>
        <w:t>Reaches out unexpectedly, claiming they can intervene for you</w:t>
      </w:r>
    </w:p>
    <w:p>
      <w:pPr>
        <w:pStyle w:val="BodyText"/>
        <w:spacing w:before="200" w:after="80"/>
      </w:pPr>
      <w:r>
        <w:rPr>
          <w:color w:val="010202"/>
          <w:b/>
          <w:sz w:val="22"/>
          <w:szCs w:val="22"/>
        </w:rPr>
        <w:t>If You Have Questions or Need Assistance</w:t>
      </w:r>
    </w:p>
    <w:p>
      <w:pPr>
        <w:pStyle w:val="BodyText"/>
        <w:jc w:val="both"/>
        <w:spacing w:after="120"/>
        <w:ind w:left="119" w:right="116"/>
      </w:pPr>
      <w:r>
        <w:rPr>
          <w:color w:val="010202"/>
          <w:sz w:val="22"/>
          <w:szCs w:val="22"/>
        </w:rPr>
        <w:t xml:space="preserve">If you ever have questions about your account, experience payment issues, or need clarification on anything, you can contact us directly. There is no need to involve any outside company:</w:t>
      </w:r>
    </w:p>
    <w:p>
      <w:pPr>
        <w:pStyle w:val="BodyText"/>
        <w:spacing w:after="20"/>
        <w:ind w:left="720"/>
      </w:pPr>
      <w:r>
        <w:rPr>
          <w:color w:val="010202"/>
          <w:b/>
          <w:sz w:val="20"/>
          <w:szCs w:val="20"/>
        </w:rPr>
        <w:t xml:space="preserve">Phone: </w:t>
      </w:r>
      <w:r>
        <w:rPr>
          <w:color w:val="010202"/>
          <w:sz w:val="20"/>
          <w:szCs w:val="20"/>
        </w:rPr>
        <w:t>929-355-8918</w:t>
      </w:r>
    </w:p>
    <w:p>
      <w:pPr>
        <w:pStyle w:val="BodyText"/>
        <w:spacing w:after="20"/>
        <w:ind w:left="720"/>
      </w:pPr>
      <w:r>
        <w:rPr>
          <w:color w:val="010202"/>
          <w:b/>
          <w:sz w:val="20"/>
          <w:szCs w:val="20"/>
        </w:rPr>
        <w:t xml:space="preserve">Email: </w:t>
      </w:r>
      <w:r>
        <w:rPr>
          <w:color w:val="010202"/>
          <w:sz w:val="20"/>
          <w:szCs w:val="20"/>
        </w:rPr>
        <w:t>admin@fundgatellc.com</w:t>
      </w:r>
    </w:p>
    <w:p>
      <w:pPr>
        <w:pStyle w:val="BodyText"/>
        <w:spacing w:before="200" w:after="80"/>
      </w:pPr>
      <w:r>
        <w:rPr>
          <w:color w:val="010202"/>
          <w:b/>
          <w:sz w:val="22"/>
          <w:szCs w:val="22"/>
        </w:rPr>
        <w:t>Purpose of This Notice</w:t>
      </w:r>
    </w:p>
    <w:p>
      <w:pPr>
        <w:pStyle w:val="BodyText"/>
        <w:jc w:val="both"/>
        <w:spacing w:after="120"/>
        <w:ind w:left="119" w:right="116"/>
      </w:pPr>
      <w:r>
        <w:rPr>
          <w:color w:val="010202"/>
          <w:sz w:val="22"/>
          <w:szCs w:val="22"/>
        </w:rPr>
        <w:t xml:space="preserve">This document is not part of your contract, is not legal advice, and is not legally binding. It is purely informational and is intended to help customers avoid misleading or unauthorized third-party companies.</w:t>
      </w:r>
    </w:p>
    <w:p>
      <w:pPr>
        <w:sectPr>
          <w:pgSz w:w="12240" w:h="15840"/>
          <w:pgMar w:top="720" w:right="720" w:bottom="720" w:left="720" w:header="720" w:footer="720"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3F0ECB">
        <w:rPr>
          <w:b/>
          <w:color w:val="010202"/>
          <w:u w:val="single" w:color="010202"/>
        </w:rPr>
        <w:fldChar w:fldCharType="begin"/>
      </w:r>
      <w:r w:rsidR="005842BD">
        <w:rPr>
          <w:b/>
          <w:color w:val="010202"/>
          <w:u w:val="single" w:color="010202"/>
        </w:rPr>
        <w:instrText xml:space="preserve"> MERGEFIELD "Repurchase_31_60_Day_Amount" </w:instrText>
      </w:r>
      <w:r w:rsidR="003F0ECB">
        <w:rPr>
          <w:b/>
          <w:color w:val="010202"/>
          <w:u w:val="single" w:color="010202"/>
        </w:rPr>
        <w:fldChar w:fldCharType="separate"/>
      </w:r>
      <w:r w:rsidR="00D22932">
        <w:rPr>
          <w:b/>
          <w:noProof/>
          <w:color w:val="010202"/>
          <w:u w:val="single" w:color="010202"/>
        </w:rPr>
        <w:t>«Repurchase_31_60_Day_Amount»</w:t>
      </w:r>
      <w:r w:rsidR="003F0ECB">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"Merchant__1" </w:instrText>
      </w:r>
      <w:r w:rsidR="003F0ECB">
        <w:rPr>
          <w:b/>
          <w:color w:val="010202"/>
        </w:rPr>
        <w:fldChar w:fldCharType="separate"/>
      </w:r>
      <w:r w:rsidR="00D22932">
        <w:rPr>
          <w:b/>
          <w:noProof/>
          <w:color w:val="010202"/>
        </w:rPr>
        <w:t>«Merchant__1»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