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Security Assessment Report</w:t>
      </w:r>
    </w:p>
    <w:p>
      <w:r>
        <w:rPr>
          <w:b/>
          <w:i w:val="0"/>
          <w:sz w:val="28"/>
        </w:rPr>
        <w:t>ABC IT PMO Kanban Board (hello-world repository)</w:t>
      </w:r>
    </w:p>
    <w:tbl>
      <w:tblPr>
        <w:tblStyle w:val="TableGrid"/>
        <w:tblW w:type="auto" w:w="0"/>
        <w:tblLayout w:type="fixed"/>
        <w:tblLook w:firstColumn="1" w:firstRow="1" w:lastColumn="0" w:lastRow="0" w:noHBand="0" w:noVBand="1" w:val="04A0"/>
        <w:tblLayout w:type="fixed"/>
      </w:tblPr>
      <w:tblGrid>
        <w:gridCol w:w="2304"/>
        <w:gridCol w:w="7343"/>
      </w:tblGrid>
      <w:tr>
        <w:tc>
          <w:tcPr>
            <w:tcW w:type="dxa" w:w="2304"/>
            <w:shd w:val="clear" w:color="auto" w:fill="E8EEF8"/>
          </w:tcPr>
          <w:p>
            <w:pPr>
              <w:spacing w:after="20"/>
            </w:pPr>
            <w:r/>
            <w:r>
              <w:rPr>
                <w:b/>
                <w:sz w:val="19"/>
              </w:rPr>
              <w:t>Scan date</w:t>
            </w:r>
          </w:p>
        </w:tc>
        <w:tc>
          <w:tcPr>
            <w:tcW w:type="dxa" w:w="7344"/>
          </w:tcPr>
          <w:p>
            <w:pPr>
              <w:spacing w:after="20"/>
            </w:pPr>
            <w:r/>
            <w:r>
              <w:rPr>
                <w:b w:val="0"/>
                <w:sz w:val="19"/>
              </w:rPr>
              <w:t>2026-10-06</w:t>
            </w:r>
          </w:p>
        </w:tc>
      </w:tr>
      <w:tr>
        <w:tc>
          <w:tcPr>
            <w:tcW w:type="dxa" w:w="2304"/>
            <w:shd w:val="clear" w:color="auto" w:fill="E8EEF8"/>
          </w:tcPr>
          <w:p>
            <w:pPr>
              <w:spacing w:after="20"/>
            </w:pPr>
            <w:r/>
            <w:r>
              <w:rPr>
                <w:b/>
                <w:sz w:val="19"/>
              </w:rPr>
              <w:t>Scanned commit</w:t>
            </w:r>
          </w:p>
        </w:tc>
        <w:tc>
          <w:tcPr>
            <w:tcW w:type="dxa" w:w="7344"/>
          </w:tcPr>
          <w:p>
            <w:pPr>
              <w:spacing w:after="20"/>
            </w:pPr>
            <w:r/>
            <w:r>
              <w:rPr>
                <w:b w:val="0"/>
                <w:sz w:val="19"/>
              </w:rPr>
              <w:t>8352df9 (branch claude/bold-knuth-xogap8, all local commits)</w:t>
            </w:r>
          </w:p>
        </w:tc>
      </w:tr>
      <w:tr>
        <w:tc>
          <w:tcPr>
            <w:tcW w:type="dxa" w:w="2304"/>
            <w:shd w:val="clear" w:color="auto" w:fill="E8EEF8"/>
          </w:tcPr>
          <w:p>
            <w:pPr>
              <w:spacing w:after="20"/>
            </w:pPr>
            <w:r/>
            <w:r>
              <w:rPr>
                <w:b/>
                <w:sz w:val="19"/>
              </w:rPr>
              <w:t>Scanner</w:t>
            </w:r>
          </w:p>
        </w:tc>
        <w:tc>
          <w:tcPr>
            <w:tcW w:type="dxa" w:w="7344"/>
          </w:tcPr>
          <w:p>
            <w:pPr>
              <w:spacing w:after="20"/>
            </w:pPr>
            <w:r/>
            <w:r>
              <w:rPr>
                <w:b w:val="0"/>
                <w:sz w:val="19"/>
              </w:rPr>
              <w:t>security-scanner agent (Claude Code)</w:t>
            </w:r>
          </w:p>
        </w:tc>
      </w:tr>
      <w:tr>
        <w:tc>
          <w:tcPr>
            <w:tcW w:type="dxa" w:w="2304"/>
            <w:shd w:val="clear" w:color="auto" w:fill="E8EEF8"/>
          </w:tcPr>
          <w:p>
            <w:pPr>
              <w:spacing w:after="20"/>
            </w:pPr>
            <w:r/>
            <w:r>
              <w:rPr>
                <w:b/>
                <w:sz w:val="19"/>
              </w:rPr>
              <w:t>Report status</w:t>
            </w:r>
          </w:p>
        </w:tc>
        <w:tc>
          <w:tcPr>
            <w:tcW w:type="dxa" w:w="7344"/>
          </w:tcPr>
          <w:p>
            <w:pPr>
              <w:spacing w:after="20"/>
            </w:pPr>
            <w:r/>
            <w:r>
              <w:rPr>
                <w:b w:val="0"/>
                <w:sz w:val="19"/>
              </w:rPr>
              <w:t>Final, not committed</w:t>
            </w:r>
          </w:p>
        </w:tc>
      </w:tr>
    </w:tbl>
    <w:p/>
    <w:p>
      <w:pPr>
        <w:pStyle w:val="Heading1"/>
      </w:pPr>
      <w:r>
        <w:t>1. Executive summary</w:t>
      </w:r>
    </w:p>
    <w:p>
      <w:r>
        <w:rPr>
          <w:b w:val="0"/>
          <w:i w:val="0"/>
        </w:rPr>
        <w:t>Overall risk: LOW. No secrets, no real personal data and no exploitable cross-site scripting were found. The application follows its own design rules: no storage, no external resources, and a single network call. The open items are hardening gaps in the browser protections, the publishing pipeline and developer tooling.</w:t>
      </w:r>
    </w:p>
    <w:tbl>
      <w:tblPr>
        <w:tblStyle w:val="TableGrid"/>
        <w:tblW w:type="auto" w:w="0"/>
        <w:jc w:val="center"/>
        <w:tblLayout w:type="fixed"/>
        <w:tblLook w:firstColumn="1" w:firstRow="1" w:lastColumn="0" w:lastRow="0" w:noHBand="0" w:noVBand="1" w:val="04A0"/>
        <w:tblLayout w:type="fixed"/>
      </w:tblPr>
      <w:tblGrid>
        <w:gridCol w:w="2880"/>
        <w:gridCol w:w="1440"/>
      </w:tblGrid>
      <w:tr>
        <w:trPr>
          <w:tblHeader w:val="true"/>
        </w:trPr>
        <w:tc>
          <w:tcPr>
            <w:tcW w:type="dxa" w:w="2880"/>
            <w:shd w:val="clear" w:color="auto" w:fill="0B2F6B"/>
          </w:tcPr>
          <w:p>
            <w:pPr>
              <w:spacing w:after="20"/>
            </w:pPr>
            <w:r/>
            <w:r>
              <w:rPr>
                <w:b/>
                <w:color w:val="FFFFFF"/>
                <w:sz w:val="19"/>
              </w:rPr>
              <w:t>Severity</w:t>
            </w:r>
          </w:p>
        </w:tc>
        <w:tc>
          <w:tcPr>
            <w:tcW w:type="dxa" w:w="1440"/>
            <w:shd w:val="clear" w:color="auto" w:fill="0B2F6B"/>
          </w:tcPr>
          <w:p>
            <w:pPr>
              <w:spacing w:after="20"/>
            </w:pPr>
            <w:r/>
            <w:r>
              <w:rPr>
                <w:b/>
                <w:color w:val="FFFFFF"/>
                <w:sz w:val="19"/>
              </w:rPr>
              <w:t>Count</w:t>
            </w:r>
          </w:p>
        </w:tc>
      </w:tr>
      <w:tr>
        <w:trPr>
          <w:cantSplit w:val="true"/>
        </w:trPr>
        <w:tc>
          <w:tcPr>
            <w:tcW w:type="dxa" w:w="2880"/>
            <w:shd w:val="clear" w:color="auto" w:fill="F4B6BE"/>
          </w:tcPr>
          <w:p>
            <w:pPr>
              <w:spacing w:after="20"/>
            </w:pPr>
            <w:r/>
            <w:r>
              <w:rPr>
                <w:b/>
                <w:sz w:val="19"/>
              </w:rPr>
              <w:t>Critical</w:t>
            </w:r>
          </w:p>
        </w:tc>
        <w:tc>
          <w:tcPr>
            <w:tcW w:type="dxa" w:w="1440"/>
          </w:tcPr>
          <w:p>
            <w:pPr>
              <w:spacing w:after="20"/>
            </w:pPr>
            <w:r/>
            <w:r>
              <w:rPr>
                <w:b w:val="0"/>
                <w:sz w:val="19"/>
              </w:rPr>
              <w:t>0</w:t>
            </w:r>
          </w:p>
        </w:tc>
      </w:tr>
      <w:tr>
        <w:trPr>
          <w:cantSplit w:val="true"/>
        </w:trPr>
        <w:tc>
          <w:tcPr>
            <w:tcW w:type="dxa" w:w="2880"/>
            <w:shd w:val="clear" w:color="auto" w:fill="F8CBAD"/>
          </w:tcPr>
          <w:p>
            <w:pPr>
              <w:spacing w:after="20"/>
            </w:pPr>
            <w:r/>
            <w:r>
              <w:rPr>
                <w:b/>
                <w:sz w:val="19"/>
              </w:rPr>
              <w:t>High</w:t>
            </w:r>
          </w:p>
        </w:tc>
        <w:tc>
          <w:tcPr>
            <w:tcW w:type="dxa" w:w="1440"/>
          </w:tcPr>
          <w:p>
            <w:pPr>
              <w:spacing w:after="20"/>
            </w:pPr>
            <w:r/>
            <w:r>
              <w:rPr>
                <w:b w:val="0"/>
                <w:sz w:val="19"/>
              </w:rPr>
              <w:t>0</w:t>
            </w:r>
          </w:p>
        </w:tc>
      </w:tr>
      <w:tr>
        <w:trPr>
          <w:cantSplit w:val="true"/>
        </w:trPr>
        <w:tc>
          <w:tcPr>
            <w:tcW w:type="dxa" w:w="2880"/>
            <w:shd w:val="clear" w:color="auto" w:fill="FFE699"/>
          </w:tcPr>
          <w:p>
            <w:pPr>
              <w:spacing w:after="20"/>
            </w:pPr>
            <w:r/>
            <w:r>
              <w:rPr>
                <w:b/>
                <w:sz w:val="19"/>
              </w:rPr>
              <w:t>Medium</w:t>
            </w:r>
          </w:p>
        </w:tc>
        <w:tc>
          <w:tcPr>
            <w:tcW w:type="dxa" w:w="1440"/>
          </w:tcPr>
          <w:p>
            <w:pPr>
              <w:spacing w:after="20"/>
            </w:pPr>
            <w:r/>
            <w:r>
              <w:rPr>
                <w:b w:val="0"/>
                <w:sz w:val="19"/>
              </w:rPr>
              <w:t>3</w:t>
            </w:r>
          </w:p>
        </w:tc>
      </w:tr>
      <w:tr>
        <w:trPr>
          <w:cantSplit w:val="true"/>
        </w:trPr>
        <w:tc>
          <w:tcPr>
            <w:tcW w:type="dxa" w:w="2880"/>
            <w:shd w:val="clear" w:color="auto" w:fill="C6E0F5"/>
          </w:tcPr>
          <w:p>
            <w:pPr>
              <w:spacing w:after="20"/>
            </w:pPr>
            <w:r/>
            <w:r>
              <w:rPr>
                <w:b/>
                <w:sz w:val="19"/>
              </w:rPr>
              <w:t>Low</w:t>
            </w:r>
          </w:p>
        </w:tc>
        <w:tc>
          <w:tcPr>
            <w:tcW w:type="dxa" w:w="1440"/>
          </w:tcPr>
          <w:p>
            <w:pPr>
              <w:spacing w:after="20"/>
            </w:pPr>
            <w:r/>
            <w:r>
              <w:rPr>
                <w:b w:val="0"/>
                <w:sz w:val="19"/>
              </w:rPr>
              <w:t>3</w:t>
            </w:r>
          </w:p>
        </w:tc>
      </w:tr>
      <w:tr>
        <w:trPr>
          <w:cantSplit w:val="true"/>
        </w:trPr>
        <w:tc>
          <w:tcPr>
            <w:tcW w:type="dxa" w:w="2880"/>
            <w:shd w:val="clear" w:color="auto" w:fill="E2E2E2"/>
          </w:tcPr>
          <w:p>
            <w:pPr>
              <w:spacing w:after="20"/>
            </w:pPr>
            <w:r/>
            <w:r>
              <w:rPr>
                <w:b/>
                <w:sz w:val="19"/>
              </w:rPr>
              <w:t>Informational</w:t>
            </w:r>
          </w:p>
        </w:tc>
        <w:tc>
          <w:tcPr>
            <w:tcW w:type="dxa" w:w="1440"/>
          </w:tcPr>
          <w:p>
            <w:pPr>
              <w:spacing w:after="20"/>
            </w:pPr>
            <w:r/>
            <w:r>
              <w:rPr>
                <w:b w:val="0"/>
                <w:sz w:val="19"/>
              </w:rPr>
              <w:t>5</w:t>
            </w:r>
          </w:p>
        </w:tc>
      </w:tr>
    </w:tbl>
    <w:p>
      <w:pPr>
        <w:spacing w:after="40"/>
      </w:pPr>
    </w:p>
    <w:p>
      <w:r>
        <w:rPr>
          <w:b/>
          <w:i w:val="0"/>
        </w:rPr>
        <w:t>Three actions for management:</w:t>
      </w:r>
    </w:p>
    <w:p>
      <w:pPr>
        <w:pStyle w:val="ListBullet"/>
        <w:spacing w:after="40"/>
      </w:pPr>
      <w:r>
        <w:rPr>
          <w:b/>
        </w:rPr>
        <w:t>1.</w:t>
      </w:r>
      <w:r>
        <w:t xml:space="preserve"> Add a Content-Security-Policy to the page (a one-line change, tested) so a future coding mistake cannot leak data to other sites.</w:t>
      </w:r>
    </w:p>
    <w:p>
      <w:pPr>
        <w:pStyle w:val="ListBullet"/>
        <w:spacing w:after="40"/>
      </w:pPr>
      <w:r>
        <w:rPr>
          <w:b/>
        </w:rPr>
        <w:t>2.</w:t>
      </w:r>
      <w:r>
        <w:t xml:space="preserve"> Lock the publishing workflow to exact versions of its building blocks so nobody can tamper with what goes live.</w:t>
      </w:r>
    </w:p>
    <w:p>
      <w:pPr>
        <w:pStyle w:val="ListBullet"/>
        <w:spacing w:after="40"/>
      </w:pPr>
      <w:r>
        <w:rPr>
          <w:b/>
        </w:rPr>
        <w:t>3.</w:t>
      </w:r>
      <w:r>
        <w:t xml:space="preserve"> Before putting a real notification mailbox in the page, use a throw-away alias: the address is visible to every visitor.</w:t>
      </w:r>
    </w:p>
    <w:p>
      <w:pPr>
        <w:pStyle w:val="Heading1"/>
      </w:pPr>
      <w:r>
        <w:t>2. Scope and method</w:t>
      </w:r>
    </w:p>
    <w:p>
      <w:r>
        <w:rPr>
          <w:b w:val="0"/>
          <w:i w:val="0"/>
        </w:rPr>
        <w:t>Scanned (committed files on this branch): index.html, .github/workflows/deploy-pages.yml, .mcp.json, CLAUDE.md, README.md, .claude/agents/* and .claude/commands/*, docs/screenshot.png, docs/reports/*.pptx (including its XML metadata and embedded workbook), and the full git history of all refs.</w:t>
      </w:r>
    </w:p>
    <w:p>
      <w:pPr>
        <w:pStyle w:val="ListBullet"/>
        <w:spacing w:after="40"/>
      </w:pPr>
      <w:r>
        <w:rPr>
          <w:b/>
        </w:rPr>
        <w:t>Static review:</w:t>
      </w:r>
      <w:r>
        <w:t xml:space="preserve"> read of every innerHTML site and every interpolated value in index.html, traced to its source; search for eval, inline handlers, javascript: URLs, storage APIs, external URLs and target=_blank.</w:t>
      </w:r>
    </w:p>
    <w:p>
      <w:pPr>
        <w:pStyle w:val="ListBullet"/>
        <w:spacing w:after="40"/>
      </w:pPr>
      <w:r>
        <w:rPr>
          <w:b/>
        </w:rPr>
        <w:t>Secrets and data:</w:t>
      </w:r>
      <w:r>
        <w:t xml:space="preserve"> secret and personal-data patterns over the working tree and over every added line in git log -p --all; email and phone regular expressions over the repo, history, the pptx package and its embedded xlsx; no .env, key or certificate file ever existed in history.</w:t>
      </w:r>
    </w:p>
    <w:p>
      <w:pPr>
        <w:pStyle w:val="ListBullet"/>
        <w:spacing w:after="40"/>
      </w:pPr>
      <w:r>
        <w:rPr>
          <w:b/>
        </w:rPr>
        <w:t>Dynamic test:</w:t>
      </w:r>
      <w:r>
        <w:t xml:space="preserve"> headless Chromium driven by the Playwright Node package against file:///home/user/hello-world/index.html (details in section 5).</w:t>
      </w:r>
    </w:p>
    <w:p>
      <w:r>
        <w:rPr>
          <w:b w:val="0"/>
          <w:i w:val="0"/>
        </w:rPr>
        <w:t>Not covered: GitHub repository settings (branch protection, Pages visibility, secret scanning), FormSubmit's own security, the Claude artifact host, npm packages fetched at run time, and the separate clone at /home/user/tommy134040/test123 (excluded by request). No network scan was run against any third-party host.</w:t>
      </w:r>
    </w:p>
    <w:p>
      <w:pPr>
        <w:pStyle w:val="Heading1"/>
      </w:pPr>
      <w:r>
        <w:t>3. Findings summary</w:t>
      </w:r>
    </w:p>
    <w:tbl>
      <w:tblPr>
        <w:tblStyle w:val="TableGrid"/>
        <w:tblW w:type="auto" w:w="0"/>
        <w:jc w:val="center"/>
        <w:tblLayout w:type="fixed"/>
        <w:tblLook w:firstColumn="1" w:firstRow="1" w:lastColumn="0" w:lastRow="0" w:noHBand="0" w:noVBand="1" w:val="04A0"/>
        <w:tblLayout w:type="fixed"/>
      </w:tblPr>
      <w:tblGrid>
        <w:gridCol w:w="936"/>
        <w:gridCol w:w="1944"/>
        <w:gridCol w:w="1440"/>
        <w:gridCol w:w="1655"/>
        <w:gridCol w:w="1440"/>
        <w:gridCol w:w="1368"/>
        <w:gridCol w:w="936"/>
      </w:tblGrid>
      <w:tr>
        <w:trPr>
          <w:tblHeader w:val="true"/>
        </w:trPr>
        <w:tc>
          <w:tcPr>
            <w:tcW w:type="dxa" w:w="936"/>
            <w:shd w:val="clear" w:color="auto" w:fill="0B2F6B"/>
          </w:tcPr>
          <w:p>
            <w:pPr>
              <w:spacing w:after="20"/>
            </w:pPr>
            <w:r/>
            <w:r>
              <w:rPr>
                <w:b/>
                <w:color w:val="FFFFFF"/>
                <w:sz w:val="19"/>
              </w:rPr>
              <w:t>ID</w:t>
            </w:r>
          </w:p>
        </w:tc>
        <w:tc>
          <w:tcPr>
            <w:tcW w:type="dxa" w:w="1944"/>
            <w:shd w:val="clear" w:color="auto" w:fill="0B2F6B"/>
          </w:tcPr>
          <w:p>
            <w:pPr>
              <w:spacing w:after="20"/>
            </w:pPr>
            <w:r/>
            <w:r>
              <w:rPr>
                <w:b/>
                <w:color w:val="FFFFFF"/>
                <w:sz w:val="19"/>
              </w:rPr>
              <w:t>Title</w:t>
            </w:r>
          </w:p>
        </w:tc>
        <w:tc>
          <w:tcPr>
            <w:tcW w:type="dxa" w:w="1440"/>
            <w:shd w:val="clear" w:color="auto" w:fill="0B2F6B"/>
          </w:tcPr>
          <w:p>
            <w:pPr>
              <w:spacing w:after="20"/>
            </w:pPr>
            <w:r/>
            <w:r>
              <w:rPr>
                <w:b/>
                <w:color w:val="FFFFFF"/>
                <w:sz w:val="19"/>
              </w:rPr>
              <w:t>Severity</w:t>
            </w:r>
          </w:p>
        </w:tc>
        <w:tc>
          <w:tcPr>
            <w:tcW w:type="dxa" w:w="1656"/>
            <w:shd w:val="clear" w:color="auto" w:fill="0B2F6B"/>
          </w:tcPr>
          <w:p>
            <w:pPr>
              <w:spacing w:after="20"/>
            </w:pPr>
            <w:r/>
            <w:r>
              <w:rPr>
                <w:b/>
                <w:color w:val="FFFFFF"/>
                <w:sz w:val="19"/>
              </w:rPr>
              <w:t>Category / CWE</w:t>
            </w:r>
          </w:p>
        </w:tc>
        <w:tc>
          <w:tcPr>
            <w:tcW w:type="dxa" w:w="1440"/>
            <w:shd w:val="clear" w:color="auto" w:fill="0B2F6B"/>
          </w:tcPr>
          <w:p>
            <w:pPr>
              <w:spacing w:after="20"/>
            </w:pPr>
            <w:r/>
            <w:r>
              <w:rPr>
                <w:b/>
                <w:color w:val="FFFFFF"/>
                <w:sz w:val="19"/>
              </w:rPr>
              <w:t>Location</w:t>
            </w:r>
          </w:p>
        </w:tc>
        <w:tc>
          <w:tcPr>
            <w:tcW w:type="dxa" w:w="1368"/>
            <w:shd w:val="clear" w:color="auto" w:fill="0B2F6B"/>
          </w:tcPr>
          <w:p>
            <w:pPr>
              <w:spacing w:after="20"/>
            </w:pPr>
            <w:r/>
            <w:r>
              <w:rPr>
                <w:b/>
                <w:color w:val="FFFFFF"/>
                <w:sz w:val="19"/>
              </w:rPr>
              <w:t>Confidence</w:t>
            </w:r>
          </w:p>
        </w:tc>
        <w:tc>
          <w:tcPr>
            <w:tcW w:type="dxa" w:w="936"/>
            <w:shd w:val="clear" w:color="auto" w:fill="0B2F6B"/>
          </w:tcPr>
          <w:p>
            <w:pPr>
              <w:spacing w:after="20"/>
            </w:pPr>
            <w:r/>
            <w:r>
              <w:rPr>
                <w:b/>
                <w:color w:val="FFFFFF"/>
                <w:sz w:val="19"/>
              </w:rPr>
              <w:t>Effort</w:t>
            </w:r>
          </w:p>
        </w:tc>
      </w:tr>
      <w:tr>
        <w:trPr>
          <w:cantSplit w:val="true"/>
        </w:trPr>
        <w:tc>
          <w:tcPr>
            <w:tcW w:type="dxa" w:w="936"/>
          </w:tcPr>
          <w:p>
            <w:pPr>
              <w:spacing w:after="20"/>
            </w:pPr>
            <w:r/>
            <w:r>
              <w:rPr>
                <w:b w:val="0"/>
                <w:sz w:val="19"/>
              </w:rPr>
              <w:t>SEC-001</w:t>
            </w:r>
          </w:p>
        </w:tc>
        <w:tc>
          <w:tcPr>
            <w:tcW w:type="dxa" w:w="1944"/>
          </w:tcPr>
          <w:p>
            <w:pPr>
              <w:spacing w:after="20"/>
            </w:pPr>
            <w:r/>
            <w:r>
              <w:rPr>
                <w:b w:val="0"/>
                <w:sz w:val="19"/>
              </w:rPr>
              <w:t>No Content-Security-Policy or referrer policy</w:t>
            </w:r>
          </w:p>
        </w:tc>
        <w:tc>
          <w:tcPr>
            <w:tcW w:type="dxa" w:w="1440"/>
            <w:shd w:val="clear" w:color="auto" w:fill="FFE699"/>
          </w:tcPr>
          <w:p>
            <w:pPr>
              <w:spacing w:after="20"/>
            </w:pPr>
            <w:r/>
            <w:r>
              <w:rPr>
                <w:b/>
                <w:sz w:val="19"/>
              </w:rPr>
              <w:t>Medium</w:t>
            </w:r>
          </w:p>
        </w:tc>
        <w:tc>
          <w:tcPr>
            <w:tcW w:type="dxa" w:w="1656"/>
          </w:tcPr>
          <w:p>
            <w:pPr>
              <w:spacing w:after="20"/>
            </w:pPr>
            <w:r/>
            <w:r>
              <w:rPr>
                <w:b w:val="0"/>
                <w:sz w:val="19"/>
              </w:rPr>
              <w:t>A05 Security Misconfiguration / CWE-693</w:t>
            </w:r>
          </w:p>
        </w:tc>
        <w:tc>
          <w:tcPr>
            <w:tcW w:type="dxa" w:w="1440"/>
          </w:tcPr>
          <w:p>
            <w:pPr>
              <w:spacing w:after="20"/>
            </w:pPr>
            <w:r/>
            <w:r>
              <w:rPr>
                <w:b w:val="0"/>
                <w:sz w:val="19"/>
              </w:rPr>
              <w:t>index.html:4-6 (head)</w:t>
            </w:r>
          </w:p>
        </w:tc>
        <w:tc>
          <w:tcPr>
            <w:tcW w:type="dxa" w:w="1368"/>
          </w:tcPr>
          <w:p>
            <w:pPr>
              <w:spacing w:after="20"/>
            </w:pPr>
            <w:r/>
            <w:r>
              <w:rPr>
                <w:b w:val="0"/>
                <w:sz w:val="19"/>
              </w:rPr>
              <w:t>Confirmed</w:t>
            </w:r>
          </w:p>
        </w:tc>
        <w:tc>
          <w:tcPr>
            <w:tcW w:type="dxa" w:w="936"/>
          </w:tcPr>
          <w:p>
            <w:pPr>
              <w:spacing w:after="20"/>
            </w:pPr>
            <w:r/>
            <w:r>
              <w:rPr>
                <w:b w:val="0"/>
                <w:sz w:val="19"/>
              </w:rPr>
              <w:t>Low</w:t>
            </w:r>
          </w:p>
        </w:tc>
      </w:tr>
      <w:tr>
        <w:trPr>
          <w:cantSplit w:val="true"/>
        </w:trPr>
        <w:tc>
          <w:tcPr>
            <w:tcW w:type="dxa" w:w="936"/>
          </w:tcPr>
          <w:p>
            <w:pPr>
              <w:spacing w:after="20"/>
            </w:pPr>
            <w:r/>
            <w:r>
              <w:rPr>
                <w:b w:val="0"/>
                <w:sz w:val="19"/>
              </w:rPr>
              <w:t>SEC-002</w:t>
            </w:r>
          </w:p>
        </w:tc>
        <w:tc>
          <w:tcPr>
            <w:tcW w:type="dxa" w:w="1944"/>
          </w:tcPr>
          <w:p>
            <w:pPr>
              <w:spacing w:after="20"/>
            </w:pPr>
            <w:r/>
            <w:r>
              <w:rPr>
                <w:b w:val="0"/>
                <w:sz w:val="19"/>
              </w:rPr>
              <w:t>GitHub Actions pinned to moving tags, not commit SHAs</w:t>
            </w:r>
          </w:p>
        </w:tc>
        <w:tc>
          <w:tcPr>
            <w:tcW w:type="dxa" w:w="1440"/>
            <w:shd w:val="clear" w:color="auto" w:fill="FFE699"/>
          </w:tcPr>
          <w:p>
            <w:pPr>
              <w:spacing w:after="20"/>
            </w:pPr>
            <w:r/>
            <w:r>
              <w:rPr>
                <w:b/>
                <w:sz w:val="19"/>
              </w:rPr>
              <w:t>Medium</w:t>
            </w:r>
          </w:p>
        </w:tc>
        <w:tc>
          <w:tcPr>
            <w:tcW w:type="dxa" w:w="1656"/>
          </w:tcPr>
          <w:p>
            <w:pPr>
              <w:spacing w:after="20"/>
            </w:pPr>
            <w:r/>
            <w:r>
              <w:rPr>
                <w:b w:val="0"/>
                <w:sz w:val="19"/>
              </w:rPr>
              <w:t>A08 Software and Data Integrity Failures / CWE-829, CWE-1104</w:t>
            </w:r>
          </w:p>
        </w:tc>
        <w:tc>
          <w:tcPr>
            <w:tcW w:type="dxa" w:w="1440"/>
          </w:tcPr>
          <w:p>
            <w:pPr>
              <w:spacing w:after="20"/>
            </w:pPr>
            <w:r/>
            <w:r>
              <w:rPr>
                <w:b w:val="0"/>
                <w:sz w:val="19"/>
              </w:rPr>
              <w:t>.github/workflows/deploy-pages.yml:26,34,37,43</w:t>
            </w:r>
          </w:p>
        </w:tc>
        <w:tc>
          <w:tcPr>
            <w:tcW w:type="dxa" w:w="1368"/>
          </w:tcPr>
          <w:p>
            <w:pPr>
              <w:spacing w:after="20"/>
            </w:pPr>
            <w:r/>
            <w:r>
              <w:rPr>
                <w:b w:val="0"/>
                <w:sz w:val="19"/>
              </w:rPr>
              <w:t>Confirmed</w:t>
            </w:r>
          </w:p>
        </w:tc>
        <w:tc>
          <w:tcPr>
            <w:tcW w:type="dxa" w:w="936"/>
          </w:tcPr>
          <w:p>
            <w:pPr>
              <w:spacing w:after="20"/>
            </w:pPr>
            <w:r/>
            <w:r>
              <w:rPr>
                <w:b w:val="0"/>
                <w:sz w:val="19"/>
              </w:rPr>
              <w:t>Low</w:t>
            </w:r>
          </w:p>
        </w:tc>
      </w:tr>
      <w:tr>
        <w:trPr>
          <w:cantSplit w:val="true"/>
        </w:trPr>
        <w:tc>
          <w:tcPr>
            <w:tcW w:type="dxa" w:w="936"/>
          </w:tcPr>
          <w:p>
            <w:pPr>
              <w:spacing w:after="20"/>
            </w:pPr>
            <w:r/>
            <w:r>
              <w:rPr>
                <w:b w:val="0"/>
                <w:sz w:val="19"/>
              </w:rPr>
              <w:t>SEC-003</w:t>
            </w:r>
          </w:p>
        </w:tc>
        <w:tc>
          <w:tcPr>
            <w:tcW w:type="dxa" w:w="1944"/>
          </w:tcPr>
          <w:p>
            <w:pPr>
              <w:spacing w:after="20"/>
            </w:pPr>
            <w:r/>
            <w:r>
              <w:rPr>
                <w:b w:val="0"/>
                <w:sz w:val="19"/>
              </w:rPr>
              <w:t>Unpinned npx package in .mcp.json</w:t>
            </w:r>
          </w:p>
        </w:tc>
        <w:tc>
          <w:tcPr>
            <w:tcW w:type="dxa" w:w="1440"/>
            <w:shd w:val="clear" w:color="auto" w:fill="FFE699"/>
          </w:tcPr>
          <w:p>
            <w:pPr>
              <w:spacing w:after="20"/>
            </w:pPr>
            <w:r/>
            <w:r>
              <w:rPr>
                <w:b/>
                <w:sz w:val="19"/>
              </w:rPr>
              <w:t>Medium</w:t>
            </w:r>
          </w:p>
        </w:tc>
        <w:tc>
          <w:tcPr>
            <w:tcW w:type="dxa" w:w="1656"/>
          </w:tcPr>
          <w:p>
            <w:pPr>
              <w:spacing w:after="20"/>
            </w:pPr>
            <w:r/>
            <w:r>
              <w:rPr>
                <w:b w:val="0"/>
                <w:sz w:val="19"/>
              </w:rPr>
              <w:t>A08 Software and Data Integrity Failures / CWE-1104</w:t>
            </w:r>
          </w:p>
        </w:tc>
        <w:tc>
          <w:tcPr>
            <w:tcW w:type="dxa" w:w="1440"/>
          </w:tcPr>
          <w:p>
            <w:pPr>
              <w:spacing w:after="20"/>
            </w:pPr>
            <w:r/>
            <w:r>
              <w:rPr>
                <w:b w:val="0"/>
                <w:sz w:val="19"/>
              </w:rPr>
              <w:t>.mcp.json:5</w:t>
            </w:r>
          </w:p>
        </w:tc>
        <w:tc>
          <w:tcPr>
            <w:tcW w:type="dxa" w:w="1368"/>
          </w:tcPr>
          <w:p>
            <w:pPr>
              <w:spacing w:after="20"/>
            </w:pPr>
            <w:r/>
            <w:r>
              <w:rPr>
                <w:b w:val="0"/>
                <w:sz w:val="19"/>
              </w:rPr>
              <w:t>Confirmed</w:t>
            </w:r>
          </w:p>
        </w:tc>
        <w:tc>
          <w:tcPr>
            <w:tcW w:type="dxa" w:w="936"/>
          </w:tcPr>
          <w:p>
            <w:pPr>
              <w:spacing w:after="20"/>
            </w:pPr>
            <w:r/>
            <w:r>
              <w:rPr>
                <w:b w:val="0"/>
                <w:sz w:val="19"/>
              </w:rPr>
              <w:t>Low</w:t>
            </w:r>
          </w:p>
        </w:tc>
      </w:tr>
      <w:tr>
        <w:trPr>
          <w:cantSplit w:val="true"/>
        </w:trPr>
        <w:tc>
          <w:tcPr>
            <w:tcW w:type="dxa" w:w="936"/>
          </w:tcPr>
          <w:p>
            <w:pPr>
              <w:spacing w:after="20"/>
            </w:pPr>
            <w:r/>
            <w:r>
              <w:rPr>
                <w:b w:val="0"/>
                <w:sz w:val="19"/>
              </w:rPr>
              <w:t>SEC-004</w:t>
            </w:r>
          </w:p>
        </w:tc>
        <w:tc>
          <w:tcPr>
            <w:tcW w:type="dxa" w:w="1944"/>
          </w:tcPr>
          <w:p>
            <w:pPr>
              <w:spacing w:after="20"/>
            </w:pPr>
            <w:r/>
            <w:r>
              <w:rPr>
                <w:b w:val="0"/>
                <w:sz w:val="19"/>
              </w:rPr>
              <w:t>Assignee field has no length limit</w:t>
            </w:r>
          </w:p>
        </w:tc>
        <w:tc>
          <w:tcPr>
            <w:tcW w:type="dxa" w:w="1440"/>
            <w:shd w:val="clear" w:color="auto" w:fill="C6E0F5"/>
          </w:tcPr>
          <w:p>
            <w:pPr>
              <w:spacing w:after="20"/>
            </w:pPr>
            <w:r/>
            <w:r>
              <w:rPr>
                <w:b/>
                <w:sz w:val="19"/>
              </w:rPr>
              <w:t>Low</w:t>
            </w:r>
          </w:p>
        </w:tc>
        <w:tc>
          <w:tcPr>
            <w:tcW w:type="dxa" w:w="1656"/>
          </w:tcPr>
          <w:p>
            <w:pPr>
              <w:spacing w:after="20"/>
            </w:pPr>
            <w:r/>
            <w:r>
              <w:rPr>
                <w:b w:val="0"/>
                <w:sz w:val="19"/>
              </w:rPr>
              <w:t>A04 Insecure Design / CWE-770, CWE-1284</w:t>
            </w:r>
          </w:p>
        </w:tc>
        <w:tc>
          <w:tcPr>
            <w:tcW w:type="dxa" w:w="1440"/>
          </w:tcPr>
          <w:p>
            <w:pPr>
              <w:spacing w:after="20"/>
            </w:pPr>
            <w:r/>
            <w:r>
              <w:rPr>
                <w:b w:val="0"/>
                <w:sz w:val="19"/>
              </w:rPr>
              <w:t>index.html:711 and 1411-1435</w:t>
            </w:r>
          </w:p>
        </w:tc>
        <w:tc>
          <w:tcPr>
            <w:tcW w:type="dxa" w:w="1368"/>
          </w:tcPr>
          <w:p>
            <w:pPr>
              <w:spacing w:after="20"/>
            </w:pPr>
            <w:r/>
            <w:r>
              <w:rPr>
                <w:b w:val="0"/>
                <w:sz w:val="19"/>
              </w:rPr>
              <w:t>Confirmed</w:t>
            </w:r>
          </w:p>
        </w:tc>
        <w:tc>
          <w:tcPr>
            <w:tcW w:type="dxa" w:w="936"/>
          </w:tcPr>
          <w:p>
            <w:pPr>
              <w:spacing w:after="20"/>
            </w:pPr>
            <w:r/>
            <w:r>
              <w:rPr>
                <w:b w:val="0"/>
                <w:sz w:val="19"/>
              </w:rPr>
              <w:t>Low</w:t>
            </w:r>
          </w:p>
        </w:tc>
      </w:tr>
      <w:tr>
        <w:trPr>
          <w:cantSplit w:val="true"/>
        </w:trPr>
        <w:tc>
          <w:tcPr>
            <w:tcW w:type="dxa" w:w="936"/>
          </w:tcPr>
          <w:p>
            <w:pPr>
              <w:spacing w:after="20"/>
            </w:pPr>
            <w:r/>
            <w:r>
              <w:rPr>
                <w:b w:val="0"/>
                <w:sz w:val="19"/>
              </w:rPr>
              <w:t>SEC-005</w:t>
            </w:r>
          </w:p>
        </w:tc>
        <w:tc>
          <w:tcPr>
            <w:tcW w:type="dxa" w:w="1944"/>
          </w:tcPr>
          <w:p>
            <w:pPr>
              <w:spacing w:after="20"/>
            </w:pPr>
            <w:r/>
            <w:r>
              <w:rPr>
                <w:b w:val="0"/>
                <w:sz w:val="19"/>
              </w:rPr>
              <w:t>No abuse control on the notification call; FormSubmit captcha disabled</w:t>
            </w:r>
          </w:p>
        </w:tc>
        <w:tc>
          <w:tcPr>
            <w:tcW w:type="dxa" w:w="1440"/>
            <w:shd w:val="clear" w:color="auto" w:fill="C6E0F5"/>
          </w:tcPr>
          <w:p>
            <w:pPr>
              <w:spacing w:after="20"/>
            </w:pPr>
            <w:r/>
            <w:r>
              <w:rPr>
                <w:b/>
                <w:sz w:val="19"/>
              </w:rPr>
              <w:t>Low</w:t>
            </w:r>
          </w:p>
        </w:tc>
        <w:tc>
          <w:tcPr>
            <w:tcW w:type="dxa" w:w="1656"/>
          </w:tcPr>
          <w:p>
            <w:pPr>
              <w:spacing w:after="20"/>
            </w:pPr>
            <w:r/>
            <w:r>
              <w:rPr>
                <w:b w:val="0"/>
                <w:sz w:val="19"/>
              </w:rPr>
              <w:t>A04 Insecure Design / CWE-770, CWE-799</w:t>
            </w:r>
          </w:p>
        </w:tc>
        <w:tc>
          <w:tcPr>
            <w:tcW w:type="dxa" w:w="1440"/>
          </w:tcPr>
          <w:p>
            <w:pPr>
              <w:spacing w:after="20"/>
            </w:pPr>
            <w:r/>
            <w:r>
              <w:rPr>
                <w:b w:val="0"/>
                <w:sz w:val="19"/>
              </w:rPr>
              <w:t>index.html:1356-1376, 1364</w:t>
            </w:r>
          </w:p>
        </w:tc>
        <w:tc>
          <w:tcPr>
            <w:tcW w:type="dxa" w:w="1368"/>
          </w:tcPr>
          <w:p>
            <w:pPr>
              <w:spacing w:after="20"/>
            </w:pPr>
            <w:r/>
            <w:r>
              <w:rPr>
                <w:b w:val="0"/>
                <w:sz w:val="19"/>
              </w:rPr>
              <w:t>Likely</w:t>
            </w:r>
          </w:p>
        </w:tc>
        <w:tc>
          <w:tcPr>
            <w:tcW w:type="dxa" w:w="936"/>
          </w:tcPr>
          <w:p>
            <w:pPr>
              <w:spacing w:after="20"/>
            </w:pPr>
            <w:r/>
            <w:r>
              <w:rPr>
                <w:b w:val="0"/>
                <w:sz w:val="19"/>
              </w:rPr>
              <w:t>Medium</w:t>
            </w:r>
          </w:p>
        </w:tc>
      </w:tr>
      <w:tr>
        <w:trPr>
          <w:cantSplit w:val="true"/>
        </w:trPr>
        <w:tc>
          <w:tcPr>
            <w:tcW w:type="dxa" w:w="936"/>
          </w:tcPr>
          <w:p>
            <w:pPr>
              <w:spacing w:after="20"/>
            </w:pPr>
            <w:r/>
            <w:r>
              <w:rPr>
                <w:b w:val="0"/>
                <w:sz w:val="19"/>
              </w:rPr>
              <w:t>SEC-006</w:t>
            </w:r>
          </w:p>
        </w:tc>
        <w:tc>
          <w:tcPr>
            <w:tcW w:type="dxa" w:w="1944"/>
          </w:tcPr>
          <w:p>
            <w:pPr>
              <w:spacing w:after="20"/>
            </w:pPr>
            <w:r/>
            <w:r>
              <w:rPr>
                <w:b w:val="0"/>
                <w:sz w:val="19"/>
              </w:rPr>
              <w:t>Broad tool permissions in agents and slash commands</w:t>
            </w:r>
          </w:p>
        </w:tc>
        <w:tc>
          <w:tcPr>
            <w:tcW w:type="dxa" w:w="1440"/>
            <w:shd w:val="clear" w:color="auto" w:fill="C6E0F5"/>
          </w:tcPr>
          <w:p>
            <w:pPr>
              <w:spacing w:after="20"/>
            </w:pPr>
            <w:r/>
            <w:r>
              <w:rPr>
                <w:b/>
                <w:sz w:val="19"/>
              </w:rPr>
              <w:t>Low</w:t>
            </w:r>
          </w:p>
        </w:tc>
        <w:tc>
          <w:tcPr>
            <w:tcW w:type="dxa" w:w="1656"/>
          </w:tcPr>
          <w:p>
            <w:pPr>
              <w:spacing w:after="20"/>
            </w:pPr>
            <w:r/>
            <w:r>
              <w:rPr>
                <w:b w:val="0"/>
                <w:sz w:val="19"/>
              </w:rPr>
              <w:t>A05 Security Misconfiguration / CWE-250</w:t>
            </w:r>
          </w:p>
        </w:tc>
        <w:tc>
          <w:tcPr>
            <w:tcW w:type="dxa" w:w="1440"/>
          </w:tcPr>
          <w:p>
            <w:pPr>
              <w:spacing w:after="20"/>
            </w:pPr>
            <w:r/>
            <w:r>
              <w:rPr>
                <w:b w:val="0"/>
                <w:sz w:val="19"/>
              </w:rPr>
              <w:t>.claude/ commands and agents</w:t>
            </w:r>
          </w:p>
        </w:tc>
        <w:tc>
          <w:tcPr>
            <w:tcW w:type="dxa" w:w="1368"/>
          </w:tcPr>
          <w:p>
            <w:pPr>
              <w:spacing w:after="20"/>
            </w:pPr>
            <w:r/>
            <w:r>
              <w:rPr>
                <w:b w:val="0"/>
                <w:sz w:val="19"/>
              </w:rPr>
              <w:t>Confirmed</w:t>
            </w:r>
          </w:p>
        </w:tc>
        <w:tc>
          <w:tcPr>
            <w:tcW w:type="dxa" w:w="936"/>
          </w:tcPr>
          <w:p>
            <w:pPr>
              <w:spacing w:after="20"/>
            </w:pPr>
            <w:r/>
            <w:r>
              <w:rPr>
                <w:b w:val="0"/>
                <w:sz w:val="19"/>
              </w:rPr>
              <w:t>Medium</w:t>
            </w:r>
          </w:p>
        </w:tc>
      </w:tr>
      <w:tr>
        <w:trPr>
          <w:cantSplit w:val="true"/>
        </w:trPr>
        <w:tc>
          <w:tcPr>
            <w:tcW w:type="dxa" w:w="936"/>
          </w:tcPr>
          <w:p>
            <w:pPr>
              <w:spacing w:after="20"/>
            </w:pPr>
            <w:r/>
            <w:r>
              <w:rPr>
                <w:b w:val="0"/>
                <w:sz w:val="19"/>
              </w:rPr>
              <w:t>SEC-007</w:t>
            </w:r>
          </w:p>
        </w:tc>
        <w:tc>
          <w:tcPr>
            <w:tcW w:type="dxa" w:w="1944"/>
          </w:tcPr>
          <w:p>
            <w:pPr>
              <w:spacing w:after="20"/>
            </w:pPr>
            <w:r/>
            <w:r>
              <w:rPr>
                <w:b w:val="0"/>
                <w:sz w:val="19"/>
              </w:rPr>
              <w:t>Real email address will be public once set in FORMSUBMIT_ENDPOINT</w:t>
            </w:r>
          </w:p>
        </w:tc>
        <w:tc>
          <w:tcPr>
            <w:tcW w:type="dxa" w:w="1440"/>
            <w:shd w:val="clear" w:color="auto" w:fill="E2E2E2"/>
          </w:tcPr>
          <w:p>
            <w:pPr>
              <w:spacing w:after="20"/>
            </w:pPr>
            <w:r/>
            <w:r>
              <w:rPr>
                <w:b/>
                <w:sz w:val="19"/>
              </w:rPr>
              <w:t>Informational</w:t>
            </w:r>
          </w:p>
        </w:tc>
        <w:tc>
          <w:tcPr>
            <w:tcW w:type="dxa" w:w="1656"/>
          </w:tcPr>
          <w:p>
            <w:pPr>
              <w:spacing w:after="20"/>
            </w:pPr>
            <w:r/>
            <w:r>
              <w:rPr>
                <w:b w:val="0"/>
                <w:sz w:val="19"/>
              </w:rPr>
              <w:t>A02 Cryptographic Failures (sensitive data exposure) / CWE-200</w:t>
            </w:r>
          </w:p>
        </w:tc>
        <w:tc>
          <w:tcPr>
            <w:tcW w:type="dxa" w:w="1440"/>
          </w:tcPr>
          <w:p>
            <w:pPr>
              <w:spacing w:after="20"/>
            </w:pPr>
            <w:r/>
            <w:r>
              <w:rPr>
                <w:b w:val="0"/>
                <w:sz w:val="19"/>
              </w:rPr>
              <w:t>index.html:765</w:t>
            </w:r>
          </w:p>
        </w:tc>
        <w:tc>
          <w:tcPr>
            <w:tcW w:type="dxa" w:w="1368"/>
          </w:tcPr>
          <w:p>
            <w:pPr>
              <w:spacing w:after="20"/>
            </w:pPr>
            <w:r/>
            <w:r>
              <w:rPr>
                <w:b w:val="0"/>
                <w:sz w:val="19"/>
              </w:rPr>
              <w:t>Informational</w:t>
            </w:r>
          </w:p>
        </w:tc>
        <w:tc>
          <w:tcPr>
            <w:tcW w:type="dxa" w:w="936"/>
          </w:tcPr>
          <w:p>
            <w:pPr>
              <w:spacing w:after="20"/>
            </w:pPr>
            <w:r/>
            <w:r>
              <w:rPr>
                <w:b w:val="0"/>
                <w:sz w:val="19"/>
              </w:rPr>
              <w:t>Low</w:t>
            </w:r>
          </w:p>
        </w:tc>
      </w:tr>
      <w:tr>
        <w:trPr>
          <w:cantSplit w:val="true"/>
        </w:trPr>
        <w:tc>
          <w:tcPr>
            <w:tcW w:type="dxa" w:w="936"/>
          </w:tcPr>
          <w:p>
            <w:pPr>
              <w:spacing w:after="20"/>
            </w:pPr>
            <w:r/>
            <w:r>
              <w:rPr>
                <w:b w:val="0"/>
                <w:sz w:val="19"/>
              </w:rPr>
              <w:t>SEC-008</w:t>
            </w:r>
          </w:p>
        </w:tc>
        <w:tc>
          <w:tcPr>
            <w:tcW w:type="dxa" w:w="1944"/>
          </w:tcPr>
          <w:p>
            <w:pPr>
              <w:spacing w:after="20"/>
            </w:pPr>
            <w:r/>
            <w:r>
              <w:rPr>
                <w:b w:val="0"/>
                <w:sz w:val="19"/>
              </w:rPr>
              <w:t>Unescaped interpolation of priority in class attributes</w:t>
            </w:r>
          </w:p>
        </w:tc>
        <w:tc>
          <w:tcPr>
            <w:tcW w:type="dxa" w:w="1440"/>
            <w:shd w:val="clear" w:color="auto" w:fill="E2E2E2"/>
          </w:tcPr>
          <w:p>
            <w:pPr>
              <w:spacing w:after="20"/>
            </w:pPr>
            <w:r/>
            <w:r>
              <w:rPr>
                <w:b/>
                <w:sz w:val="19"/>
              </w:rPr>
              <w:t>Informational</w:t>
            </w:r>
          </w:p>
        </w:tc>
        <w:tc>
          <w:tcPr>
            <w:tcW w:type="dxa" w:w="1656"/>
          </w:tcPr>
          <w:p>
            <w:pPr>
              <w:spacing w:after="20"/>
            </w:pPr>
            <w:r/>
            <w:r>
              <w:rPr>
                <w:b w:val="0"/>
                <w:sz w:val="19"/>
              </w:rPr>
              <w:t>A03 Injection / CWE-79 (hardening)</w:t>
            </w:r>
          </w:p>
        </w:tc>
        <w:tc>
          <w:tcPr>
            <w:tcW w:type="dxa" w:w="1440"/>
          </w:tcPr>
          <w:p>
            <w:pPr>
              <w:spacing w:after="20"/>
            </w:pPr>
            <w:r/>
            <w:r>
              <w:rPr>
                <w:b w:val="0"/>
                <w:sz w:val="19"/>
              </w:rPr>
              <w:t>index.html:831, 974, 986</w:t>
            </w:r>
          </w:p>
        </w:tc>
        <w:tc>
          <w:tcPr>
            <w:tcW w:type="dxa" w:w="1368"/>
          </w:tcPr>
          <w:p>
            <w:pPr>
              <w:spacing w:after="20"/>
            </w:pPr>
            <w:r/>
            <w:r>
              <w:rPr>
                <w:b w:val="0"/>
                <w:sz w:val="19"/>
              </w:rPr>
              <w:t>Informational</w:t>
            </w:r>
          </w:p>
        </w:tc>
        <w:tc>
          <w:tcPr>
            <w:tcW w:type="dxa" w:w="936"/>
          </w:tcPr>
          <w:p>
            <w:pPr>
              <w:spacing w:after="20"/>
            </w:pPr>
            <w:r/>
            <w:r>
              <w:rPr>
                <w:b w:val="0"/>
                <w:sz w:val="19"/>
              </w:rPr>
              <w:t>Low</w:t>
            </w:r>
          </w:p>
        </w:tc>
      </w:tr>
      <w:tr>
        <w:trPr>
          <w:cantSplit w:val="true"/>
        </w:trPr>
        <w:tc>
          <w:tcPr>
            <w:tcW w:type="dxa" w:w="936"/>
          </w:tcPr>
          <w:p>
            <w:pPr>
              <w:spacing w:after="20"/>
            </w:pPr>
            <w:r/>
            <w:r>
              <w:rPr>
                <w:b w:val="0"/>
                <w:sz w:val="19"/>
              </w:rPr>
              <w:t>SEC-009</w:t>
            </w:r>
          </w:p>
        </w:tc>
        <w:tc>
          <w:tcPr>
            <w:tcW w:type="dxa" w:w="1944"/>
          </w:tcPr>
          <w:p>
            <w:pPr>
              <w:spacing w:after="20"/>
            </w:pPr>
            <w:r/>
            <w:r>
              <w:rPr>
                <w:b w:val="0"/>
                <w:sz w:val="19"/>
              </w:rPr>
              <w:t>No clickjacking (framing) protection</w:t>
            </w:r>
          </w:p>
        </w:tc>
        <w:tc>
          <w:tcPr>
            <w:tcW w:type="dxa" w:w="1440"/>
            <w:shd w:val="clear" w:color="auto" w:fill="E2E2E2"/>
          </w:tcPr>
          <w:p>
            <w:pPr>
              <w:spacing w:after="20"/>
            </w:pPr>
            <w:r/>
            <w:r>
              <w:rPr>
                <w:b/>
                <w:sz w:val="19"/>
              </w:rPr>
              <w:t>Informational</w:t>
            </w:r>
          </w:p>
        </w:tc>
        <w:tc>
          <w:tcPr>
            <w:tcW w:type="dxa" w:w="1656"/>
          </w:tcPr>
          <w:p>
            <w:pPr>
              <w:spacing w:after="20"/>
            </w:pPr>
            <w:r/>
            <w:r>
              <w:rPr>
                <w:b w:val="0"/>
                <w:sz w:val="19"/>
              </w:rPr>
              <w:t>A05 Security Misconfiguration / CWE-1021</w:t>
            </w:r>
          </w:p>
        </w:tc>
        <w:tc>
          <w:tcPr>
            <w:tcW w:type="dxa" w:w="1440"/>
          </w:tcPr>
          <w:p>
            <w:pPr>
              <w:spacing w:after="20"/>
            </w:pPr>
            <w:r/>
            <w:r>
              <w:rPr>
                <w:b w:val="0"/>
                <w:sz w:val="19"/>
              </w:rPr>
              <w:t>index.html (head)</w:t>
            </w:r>
          </w:p>
        </w:tc>
        <w:tc>
          <w:tcPr>
            <w:tcW w:type="dxa" w:w="1368"/>
          </w:tcPr>
          <w:p>
            <w:pPr>
              <w:spacing w:after="20"/>
            </w:pPr>
            <w:r/>
            <w:r>
              <w:rPr>
                <w:b w:val="0"/>
                <w:sz w:val="19"/>
              </w:rPr>
              <w:t>Informational</w:t>
            </w:r>
          </w:p>
        </w:tc>
        <w:tc>
          <w:tcPr>
            <w:tcW w:type="dxa" w:w="936"/>
          </w:tcPr>
          <w:p>
            <w:pPr>
              <w:spacing w:after="20"/>
            </w:pPr>
            <w:r/>
            <w:r>
              <w:rPr>
                <w:b w:val="0"/>
                <w:sz w:val="19"/>
              </w:rPr>
              <w:t>Low</w:t>
            </w:r>
          </w:p>
        </w:tc>
      </w:tr>
      <w:tr>
        <w:trPr>
          <w:cantSplit w:val="true"/>
        </w:trPr>
        <w:tc>
          <w:tcPr>
            <w:tcW w:type="dxa" w:w="936"/>
          </w:tcPr>
          <w:p>
            <w:pPr>
              <w:spacing w:after="20"/>
            </w:pPr>
            <w:r/>
            <w:r>
              <w:rPr>
                <w:b w:val="0"/>
                <w:sz w:val="19"/>
              </w:rPr>
              <w:t>SEC-010</w:t>
            </w:r>
          </w:p>
        </w:tc>
        <w:tc>
          <w:tcPr>
            <w:tcW w:type="dxa" w:w="1944"/>
          </w:tcPr>
          <w:p>
            <w:pPr>
              <w:spacing w:after="20"/>
            </w:pPr>
            <w:r/>
            <w:r>
              <w:rPr>
                <w:b w:val="0"/>
                <w:sz w:val="19"/>
              </w:rPr>
              <w:t>Task content is emailed to a third party without notice</w:t>
            </w:r>
          </w:p>
        </w:tc>
        <w:tc>
          <w:tcPr>
            <w:tcW w:type="dxa" w:w="1440"/>
            <w:shd w:val="clear" w:color="auto" w:fill="E2E2E2"/>
          </w:tcPr>
          <w:p>
            <w:pPr>
              <w:spacing w:after="20"/>
            </w:pPr>
            <w:r/>
            <w:r>
              <w:rPr>
                <w:b/>
                <w:sz w:val="19"/>
              </w:rPr>
              <w:t>Informational</w:t>
            </w:r>
          </w:p>
        </w:tc>
        <w:tc>
          <w:tcPr>
            <w:tcW w:type="dxa" w:w="1656"/>
          </w:tcPr>
          <w:p>
            <w:pPr>
              <w:spacing w:after="20"/>
            </w:pPr>
            <w:r/>
            <w:r>
              <w:rPr>
                <w:b w:val="0"/>
                <w:sz w:val="19"/>
              </w:rPr>
              <w:t>A04 Insecure Design (privacy) / CWE-359</w:t>
            </w:r>
          </w:p>
        </w:tc>
        <w:tc>
          <w:tcPr>
            <w:tcW w:type="dxa" w:w="1440"/>
          </w:tcPr>
          <w:p>
            <w:pPr>
              <w:spacing w:after="20"/>
            </w:pPr>
            <w:r/>
            <w:r>
              <w:rPr>
                <w:b w:val="0"/>
                <w:sz w:val="19"/>
              </w:rPr>
              <w:t>index.html:1356-1375</w:t>
            </w:r>
          </w:p>
        </w:tc>
        <w:tc>
          <w:tcPr>
            <w:tcW w:type="dxa" w:w="1368"/>
          </w:tcPr>
          <w:p>
            <w:pPr>
              <w:spacing w:after="20"/>
            </w:pPr>
            <w:r/>
            <w:r>
              <w:rPr>
                <w:b w:val="0"/>
                <w:sz w:val="19"/>
              </w:rPr>
              <w:t>Informational</w:t>
            </w:r>
          </w:p>
        </w:tc>
        <w:tc>
          <w:tcPr>
            <w:tcW w:type="dxa" w:w="936"/>
          </w:tcPr>
          <w:p>
            <w:pPr>
              <w:spacing w:after="20"/>
            </w:pPr>
            <w:r/>
            <w:r>
              <w:rPr>
                <w:b w:val="0"/>
                <w:sz w:val="19"/>
              </w:rPr>
              <w:t>Low</w:t>
            </w:r>
          </w:p>
        </w:tc>
      </w:tr>
      <w:tr>
        <w:trPr>
          <w:cantSplit w:val="true"/>
        </w:trPr>
        <w:tc>
          <w:tcPr>
            <w:tcW w:type="dxa" w:w="936"/>
          </w:tcPr>
          <w:p>
            <w:pPr>
              <w:spacing w:after="20"/>
            </w:pPr>
            <w:r/>
            <w:r>
              <w:rPr>
                <w:b w:val="0"/>
                <w:sz w:val="19"/>
              </w:rPr>
              <w:t>SEC-011</w:t>
            </w:r>
          </w:p>
        </w:tc>
        <w:tc>
          <w:tcPr>
            <w:tcW w:type="dxa" w:w="1944"/>
          </w:tcPr>
          <w:p>
            <w:pPr>
              <w:spacing w:after="20"/>
            </w:pPr>
            <w:r/>
            <w:r>
              <w:rPr>
                <w:b w:val="0"/>
                <w:sz w:val="19"/>
              </w:rPr>
              <w:t>Residual metadata in the deck and in git authorship</w:t>
            </w:r>
          </w:p>
        </w:tc>
        <w:tc>
          <w:tcPr>
            <w:tcW w:type="dxa" w:w="1440"/>
            <w:shd w:val="clear" w:color="auto" w:fill="E2E2E2"/>
          </w:tcPr>
          <w:p>
            <w:pPr>
              <w:spacing w:after="20"/>
            </w:pPr>
            <w:r/>
            <w:r>
              <w:rPr>
                <w:b/>
                <w:sz w:val="19"/>
              </w:rPr>
              <w:t>Informational</w:t>
            </w:r>
          </w:p>
        </w:tc>
        <w:tc>
          <w:tcPr>
            <w:tcW w:type="dxa" w:w="1656"/>
          </w:tcPr>
          <w:p>
            <w:pPr>
              <w:spacing w:after="20"/>
            </w:pPr>
            <w:r/>
            <w:r>
              <w:rPr>
                <w:b w:val="0"/>
                <w:sz w:val="19"/>
              </w:rPr>
              <w:t>A09 / CWE-200 (metadata)</w:t>
            </w:r>
          </w:p>
        </w:tc>
        <w:tc>
          <w:tcPr>
            <w:tcW w:type="dxa" w:w="1440"/>
          </w:tcPr>
          <w:p>
            <w:pPr>
              <w:spacing w:after="20"/>
            </w:pPr>
            <w:r/>
            <w:r>
              <w:rPr>
                <w:b w:val="0"/>
                <w:sz w:val="19"/>
              </w:rPr>
              <w:t>docs/reports/*.pptx, git log</w:t>
            </w:r>
          </w:p>
        </w:tc>
        <w:tc>
          <w:tcPr>
            <w:tcW w:type="dxa" w:w="1368"/>
          </w:tcPr>
          <w:p>
            <w:pPr>
              <w:spacing w:after="20"/>
            </w:pPr>
            <w:r/>
            <w:r>
              <w:rPr>
                <w:b w:val="0"/>
                <w:sz w:val="19"/>
              </w:rPr>
              <w:t>Confirmed</w:t>
            </w:r>
          </w:p>
        </w:tc>
        <w:tc>
          <w:tcPr>
            <w:tcW w:type="dxa" w:w="936"/>
          </w:tcPr>
          <w:p>
            <w:pPr>
              <w:spacing w:after="20"/>
            </w:pPr>
            <w:r/>
            <w:r>
              <w:rPr>
                <w:b w:val="0"/>
                <w:sz w:val="19"/>
              </w:rPr>
              <w:t>Low</w:t>
            </w:r>
          </w:p>
        </w:tc>
      </w:tr>
    </w:tbl>
    <w:p>
      <w:pPr>
        <w:spacing w:after="40"/>
      </w:pPr>
    </w:p>
    <w:p>
      <w:pPr>
        <w:pStyle w:val="Heading1"/>
      </w:pPr>
      <w:r>
        <w:t>4. Detailed findings</w:t>
      </w:r>
    </w:p>
    <w:p>
      <w:pPr>
        <w:pStyle w:val="Heading2"/>
      </w:pPr>
      <w:r>
        <w:t>SEC-001  No Content-Security-Policy or referrer policy</w:t>
      </w:r>
    </w:p>
    <w:tbl>
      <w:tblPr>
        <w:tblStyle w:val="TableGrid"/>
        <w:tblW w:type="auto" w:w="0"/>
        <w:tblLayout w:type="fixed"/>
        <w:tblLook w:firstColumn="1" w:firstRow="1" w:lastColumn="0" w:lastRow="0" w:noHBand="0" w:noVBand="1" w:val="04A0"/>
        <w:tblLayout w:type="fixed"/>
      </w:tblPr>
      <w:tblGrid>
        <w:gridCol w:w="1872"/>
        <w:gridCol w:w="7776"/>
      </w:tblGrid>
      <w:tr>
        <w:trPr>
          <w:cantSplit w:val="true"/>
        </w:trPr>
        <w:tc>
          <w:tcPr>
            <w:tcW w:type="dxa" w:w="1872"/>
            <w:shd w:val="clear" w:color="auto" w:fill="E8EEF8"/>
          </w:tcPr>
          <w:p>
            <w:pPr>
              <w:keepNext/>
              <w:spacing w:after="20"/>
            </w:pPr>
            <w:r/>
            <w:r>
              <w:rPr>
                <w:b/>
                <w:sz w:val="19"/>
              </w:rPr>
              <w:t>Severity</w:t>
            </w:r>
          </w:p>
        </w:tc>
        <w:tc>
          <w:tcPr>
            <w:tcW w:type="dxa" w:w="7776"/>
            <w:shd w:val="clear" w:color="auto" w:fill="FFE699"/>
          </w:tcPr>
          <w:p>
            <w:pPr>
              <w:keepNext/>
              <w:spacing w:after="20"/>
            </w:pPr>
            <w:r/>
            <w:r>
              <w:rPr>
                <w:b/>
                <w:sz w:val="19"/>
              </w:rPr>
              <w:t>Medium</w:t>
            </w:r>
          </w:p>
        </w:tc>
      </w:tr>
      <w:tr>
        <w:trPr>
          <w:cantSplit w:val="true"/>
        </w:trPr>
        <w:tc>
          <w:tcPr>
            <w:tcW w:type="dxa" w:w="1872"/>
            <w:shd w:val="clear" w:color="auto" w:fill="E8EEF8"/>
          </w:tcPr>
          <w:p>
            <w:pPr>
              <w:keepNext/>
              <w:spacing w:after="20"/>
            </w:pPr>
            <w:r/>
            <w:r>
              <w:rPr>
                <w:b/>
                <w:sz w:val="19"/>
              </w:rPr>
              <w:t>Category</w:t>
            </w:r>
          </w:p>
        </w:tc>
        <w:tc>
          <w:tcPr>
            <w:tcW w:type="dxa" w:w="7776"/>
          </w:tcPr>
          <w:p>
            <w:pPr>
              <w:keepNext/>
              <w:spacing w:after="20"/>
            </w:pPr>
            <w:r/>
            <w:r>
              <w:rPr>
                <w:b w:val="0"/>
                <w:sz w:val="19"/>
              </w:rPr>
              <w:t>A05 Security Misconfiguration / CWE-693</w:t>
            </w:r>
          </w:p>
        </w:tc>
      </w:tr>
      <w:tr>
        <w:trPr>
          <w:cantSplit w:val="true"/>
        </w:trPr>
        <w:tc>
          <w:tcPr>
            <w:tcW w:type="dxa" w:w="1872"/>
            <w:shd w:val="clear" w:color="auto" w:fill="E8EEF8"/>
          </w:tcPr>
          <w:p>
            <w:pPr>
              <w:keepNext/>
              <w:spacing w:after="20"/>
            </w:pPr>
            <w:r/>
            <w:r>
              <w:rPr>
                <w:b/>
                <w:sz w:val="19"/>
              </w:rPr>
              <w:t>Confidence</w:t>
            </w:r>
          </w:p>
        </w:tc>
        <w:tc>
          <w:tcPr>
            <w:tcW w:type="dxa" w:w="7776"/>
          </w:tcPr>
          <w:p>
            <w:pPr>
              <w:keepNext/>
              <w:spacing w:after="20"/>
            </w:pPr>
            <w:r/>
            <w:r>
              <w:rPr>
                <w:b w:val="0"/>
                <w:sz w:val="19"/>
              </w:rPr>
              <w:t>Confirmed</w:t>
            </w:r>
          </w:p>
        </w:tc>
      </w:tr>
      <w:tr>
        <w:trPr>
          <w:cantSplit w:val="true"/>
        </w:trPr>
        <w:tc>
          <w:tcPr>
            <w:tcW w:type="dxa" w:w="1872"/>
            <w:shd w:val="clear" w:color="auto" w:fill="E8EEF8"/>
          </w:tcPr>
          <w:p>
            <w:pPr>
              <w:keepNext/>
              <w:spacing w:after="20"/>
            </w:pPr>
            <w:r/>
            <w:r>
              <w:rPr>
                <w:b/>
                <w:sz w:val="19"/>
              </w:rPr>
              <w:t>Location</w:t>
            </w:r>
          </w:p>
        </w:tc>
        <w:tc>
          <w:tcPr>
            <w:tcW w:type="dxa" w:w="7776"/>
          </w:tcPr>
          <w:p>
            <w:pPr>
              <w:keepNext/>
              <w:spacing w:after="20"/>
            </w:pPr>
            <w:r/>
            <w:r>
              <w:rPr>
                <w:b w:val="0"/>
                <w:sz w:val="19"/>
              </w:rPr>
              <w:t>index.html:4-6 (head)</w:t>
            </w:r>
          </w:p>
        </w:tc>
      </w:tr>
      <w:tr>
        <w:trPr>
          <w:cantSplit w:val="true"/>
        </w:trPr>
        <w:tc>
          <w:tcPr>
            <w:tcW w:type="dxa" w:w="1872"/>
            <w:shd w:val="clear" w:color="auto" w:fill="E8EEF8"/>
          </w:tcPr>
          <w:p>
            <w:pPr>
              <w:keepNext/>
              <w:spacing w:after="20"/>
            </w:pPr>
            <w:r/>
            <w:r>
              <w:rPr>
                <w:b/>
                <w:sz w:val="19"/>
              </w:rPr>
              <w:t>Effort</w:t>
            </w:r>
          </w:p>
        </w:tc>
        <w:tc>
          <w:tcPr>
            <w:tcW w:type="dxa" w:w="7776"/>
          </w:tcPr>
          <w:p>
            <w:pPr>
              <w:keepNext/>
              <w:spacing w:after="20"/>
            </w:pPr>
            <w:r/>
            <w:r>
              <w:rPr>
                <w:b w:val="0"/>
                <w:sz w:val="19"/>
              </w:rPr>
              <w:t>Low</w:t>
            </w:r>
          </w:p>
        </w:tc>
      </w:tr>
      <w:tr>
        <w:trPr>
          <w:cantSplit w:val="true"/>
        </w:trPr>
        <w:tc>
          <w:tcPr>
            <w:tcW w:type="dxa" w:w="1872"/>
            <w:shd w:val="clear" w:color="auto" w:fill="E8EEF8"/>
          </w:tcPr>
          <w:p>
            <w:pPr>
              <w:keepNext/>
              <w:spacing w:after="20"/>
            </w:pPr>
            <w:r/>
            <w:r>
              <w:rPr>
                <w:b/>
                <w:sz w:val="19"/>
              </w:rPr>
              <w:t>Evidence</w:t>
            </w:r>
          </w:p>
        </w:tc>
        <w:tc>
          <w:tcPr>
            <w:tcW w:type="dxa" w:w="7776"/>
          </w:tcPr>
          <w:p>
            <w:pPr>
              <w:keepNext/>
              <w:spacing w:after="20"/>
            </w:pPr>
            <w:r/>
            <w:r>
              <w:rPr>
                <w:rFonts w:ascii="Consolas" w:hAnsi="Consolas"/>
                <w:b w:val="0"/>
                <w:sz w:val="17"/>
              </w:rPr>
              <w:t>The &lt;head&gt; holds only charset, viewport and title meta tags. No http-equiv Content-Security-Policy and no name=referrer meta exist.</w:t>
            </w:r>
          </w:p>
        </w:tc>
      </w:tr>
      <w:tr>
        <w:trPr>
          <w:cantSplit w:val="true"/>
        </w:trPr>
        <w:tc>
          <w:tcPr>
            <w:tcW w:type="dxa" w:w="1872"/>
            <w:shd w:val="clear" w:color="auto" w:fill="E8EEF8"/>
          </w:tcPr>
          <w:p>
            <w:pPr>
              <w:keepNext/>
              <w:spacing w:after="20"/>
            </w:pPr>
            <w:r/>
            <w:r>
              <w:rPr>
                <w:b/>
                <w:sz w:val="19"/>
              </w:rPr>
              <w:t>Impact</w:t>
            </w:r>
          </w:p>
        </w:tc>
        <w:tc>
          <w:tcPr>
            <w:tcW w:type="dxa" w:w="7776"/>
          </w:tcPr>
          <w:p>
            <w:pPr>
              <w:keepNext/>
              <w:spacing w:after="20"/>
            </w:pPr>
            <w:r/>
            <w:r>
              <w:rPr>
                <w:b w:val="0"/>
                <w:sz w:val="19"/>
              </w:rPr>
              <w:t>If an injection flaw is ever introduced, nothing limits what injected script can load or where it can send data. The page is hosted on a public origin, so the browser's last line of defence is missing. No flaw exists today (see the XSS test), so this is defence in depth.</w:t>
            </w:r>
          </w:p>
        </w:tc>
      </w:tr>
      <w:tr>
        <w:trPr>
          <w:cantSplit w:val="true"/>
        </w:trPr>
        <w:tc>
          <w:tcPr>
            <w:tcW w:type="dxa" w:w="1872"/>
            <w:shd w:val="clear" w:color="auto" w:fill="E8EEF8"/>
          </w:tcPr>
          <w:p>
            <w:pPr>
              <w:spacing w:after="20"/>
            </w:pPr>
            <w:r/>
            <w:r>
              <w:rPr>
                <w:b/>
                <w:sz w:val="19"/>
              </w:rPr>
              <w:t>Recommended fix</w:t>
            </w:r>
          </w:p>
        </w:tc>
        <w:tc>
          <w:tcPr>
            <w:tcW w:type="dxa" w:w="7776"/>
          </w:tcPr>
          <w:p>
            <w:pPr>
              <w:spacing w:after="20"/>
            </w:pPr>
            <w:r/>
            <w:r>
              <w:rPr>
                <w:b w:val="0"/>
                <w:sz w:val="19"/>
              </w:rPr>
              <w:t>Add as the first meta in &lt;head&gt; (tested on a scratch copy: board, add-task form and the XSS test behave identically):</w:t>
              <w:br/>
              <w:t>&lt;meta http-equiv="Content-Security-Policy" content="default-src 'none'; script-src 'unsafe-inline'; style-src 'unsafe-inline'; connect-src https://formsubmit.co; img-src data:; base-uri 'none'; form-action 'none'"&gt;</w:t>
              <w:br/>
              <w:t>&lt;meta name="referrer" content="no-referrer"&gt;</w:t>
              <w:br/>
              <w:t>'unsafe-inline' is needed because the app is a single file with inline script, style and a few style attributes. This weakens script protection but still blocks external loads and exfiltration to other hosts.</w:t>
            </w:r>
          </w:p>
        </w:tc>
      </w:tr>
    </w:tbl>
    <w:p>
      <w:pPr>
        <w:spacing w:after="40"/>
      </w:pPr>
    </w:p>
    <w:p>
      <w:pPr>
        <w:pStyle w:val="Heading2"/>
      </w:pPr>
      <w:r>
        <w:t>SEC-002  GitHub Actions pinned to moving tags, not commit SHAs</w:t>
      </w:r>
    </w:p>
    <w:tbl>
      <w:tblPr>
        <w:tblStyle w:val="TableGrid"/>
        <w:tblW w:type="auto" w:w="0"/>
        <w:tblLayout w:type="fixed"/>
        <w:tblLook w:firstColumn="1" w:firstRow="1" w:lastColumn="0" w:lastRow="0" w:noHBand="0" w:noVBand="1" w:val="04A0"/>
        <w:tblLayout w:type="fixed"/>
      </w:tblPr>
      <w:tblGrid>
        <w:gridCol w:w="1872"/>
        <w:gridCol w:w="7776"/>
      </w:tblGrid>
      <w:tr>
        <w:trPr>
          <w:cantSplit w:val="true"/>
        </w:trPr>
        <w:tc>
          <w:tcPr>
            <w:tcW w:type="dxa" w:w="1872"/>
            <w:shd w:val="clear" w:color="auto" w:fill="E8EEF8"/>
          </w:tcPr>
          <w:p>
            <w:pPr>
              <w:keepNext/>
              <w:spacing w:after="20"/>
            </w:pPr>
            <w:r/>
            <w:r>
              <w:rPr>
                <w:b/>
                <w:sz w:val="19"/>
              </w:rPr>
              <w:t>Severity</w:t>
            </w:r>
          </w:p>
        </w:tc>
        <w:tc>
          <w:tcPr>
            <w:tcW w:type="dxa" w:w="7776"/>
            <w:shd w:val="clear" w:color="auto" w:fill="FFE699"/>
          </w:tcPr>
          <w:p>
            <w:pPr>
              <w:keepNext/>
              <w:spacing w:after="20"/>
            </w:pPr>
            <w:r/>
            <w:r>
              <w:rPr>
                <w:b/>
                <w:sz w:val="19"/>
              </w:rPr>
              <w:t>Medium</w:t>
            </w:r>
          </w:p>
        </w:tc>
      </w:tr>
      <w:tr>
        <w:trPr>
          <w:cantSplit w:val="true"/>
        </w:trPr>
        <w:tc>
          <w:tcPr>
            <w:tcW w:type="dxa" w:w="1872"/>
            <w:shd w:val="clear" w:color="auto" w:fill="E8EEF8"/>
          </w:tcPr>
          <w:p>
            <w:pPr>
              <w:keepNext/>
              <w:spacing w:after="20"/>
            </w:pPr>
            <w:r/>
            <w:r>
              <w:rPr>
                <w:b/>
                <w:sz w:val="19"/>
              </w:rPr>
              <w:t>Category</w:t>
            </w:r>
          </w:p>
        </w:tc>
        <w:tc>
          <w:tcPr>
            <w:tcW w:type="dxa" w:w="7776"/>
          </w:tcPr>
          <w:p>
            <w:pPr>
              <w:keepNext/>
              <w:spacing w:after="20"/>
            </w:pPr>
            <w:r/>
            <w:r>
              <w:rPr>
                <w:b w:val="0"/>
                <w:sz w:val="19"/>
              </w:rPr>
              <w:t>A08 Software and Data Integrity Failures / CWE-829, CWE-1104</w:t>
            </w:r>
          </w:p>
        </w:tc>
      </w:tr>
      <w:tr>
        <w:trPr>
          <w:cantSplit w:val="true"/>
        </w:trPr>
        <w:tc>
          <w:tcPr>
            <w:tcW w:type="dxa" w:w="1872"/>
            <w:shd w:val="clear" w:color="auto" w:fill="E8EEF8"/>
          </w:tcPr>
          <w:p>
            <w:pPr>
              <w:keepNext/>
              <w:spacing w:after="20"/>
            </w:pPr>
            <w:r/>
            <w:r>
              <w:rPr>
                <w:b/>
                <w:sz w:val="19"/>
              </w:rPr>
              <w:t>Confidence</w:t>
            </w:r>
          </w:p>
        </w:tc>
        <w:tc>
          <w:tcPr>
            <w:tcW w:type="dxa" w:w="7776"/>
          </w:tcPr>
          <w:p>
            <w:pPr>
              <w:keepNext/>
              <w:spacing w:after="20"/>
            </w:pPr>
            <w:r/>
            <w:r>
              <w:rPr>
                <w:b w:val="0"/>
                <w:sz w:val="19"/>
              </w:rPr>
              <w:t>Confirmed</w:t>
            </w:r>
          </w:p>
        </w:tc>
      </w:tr>
      <w:tr>
        <w:trPr>
          <w:cantSplit w:val="true"/>
        </w:trPr>
        <w:tc>
          <w:tcPr>
            <w:tcW w:type="dxa" w:w="1872"/>
            <w:shd w:val="clear" w:color="auto" w:fill="E8EEF8"/>
          </w:tcPr>
          <w:p>
            <w:pPr>
              <w:keepNext/>
              <w:spacing w:after="20"/>
            </w:pPr>
            <w:r/>
            <w:r>
              <w:rPr>
                <w:b/>
                <w:sz w:val="19"/>
              </w:rPr>
              <w:t>Location</w:t>
            </w:r>
          </w:p>
        </w:tc>
        <w:tc>
          <w:tcPr>
            <w:tcW w:type="dxa" w:w="7776"/>
          </w:tcPr>
          <w:p>
            <w:pPr>
              <w:keepNext/>
              <w:spacing w:after="20"/>
            </w:pPr>
            <w:r/>
            <w:r>
              <w:rPr>
                <w:b w:val="0"/>
                <w:sz w:val="19"/>
              </w:rPr>
              <w:t>.github/workflows/deploy-pages.yml:26,34,37,43</w:t>
            </w:r>
          </w:p>
        </w:tc>
      </w:tr>
      <w:tr>
        <w:trPr>
          <w:cantSplit w:val="true"/>
        </w:trPr>
        <w:tc>
          <w:tcPr>
            <w:tcW w:type="dxa" w:w="1872"/>
            <w:shd w:val="clear" w:color="auto" w:fill="E8EEF8"/>
          </w:tcPr>
          <w:p>
            <w:pPr>
              <w:keepNext/>
              <w:spacing w:after="20"/>
            </w:pPr>
            <w:r/>
            <w:r>
              <w:rPr>
                <w:b/>
                <w:sz w:val="19"/>
              </w:rPr>
              <w:t>Effort</w:t>
            </w:r>
          </w:p>
        </w:tc>
        <w:tc>
          <w:tcPr>
            <w:tcW w:type="dxa" w:w="7776"/>
          </w:tcPr>
          <w:p>
            <w:pPr>
              <w:keepNext/>
              <w:spacing w:after="20"/>
            </w:pPr>
            <w:r/>
            <w:r>
              <w:rPr>
                <w:b w:val="0"/>
                <w:sz w:val="19"/>
              </w:rPr>
              <w:t>Low</w:t>
            </w:r>
          </w:p>
        </w:tc>
      </w:tr>
      <w:tr>
        <w:trPr>
          <w:cantSplit w:val="true"/>
        </w:trPr>
        <w:tc>
          <w:tcPr>
            <w:tcW w:type="dxa" w:w="1872"/>
            <w:shd w:val="clear" w:color="auto" w:fill="E8EEF8"/>
          </w:tcPr>
          <w:p>
            <w:pPr>
              <w:keepNext/>
              <w:spacing w:after="20"/>
            </w:pPr>
            <w:r/>
            <w:r>
              <w:rPr>
                <w:b/>
                <w:sz w:val="19"/>
              </w:rPr>
              <w:t>Evidence</w:t>
            </w:r>
          </w:p>
        </w:tc>
        <w:tc>
          <w:tcPr>
            <w:tcW w:type="dxa" w:w="7776"/>
          </w:tcPr>
          <w:p>
            <w:pPr>
              <w:keepNext/>
              <w:spacing w:after="20"/>
            </w:pPr>
            <w:r/>
            <w:r>
              <w:rPr>
                <w:rFonts w:ascii="Consolas" w:hAnsi="Consolas"/>
                <w:b w:val="0"/>
                <w:sz w:val="17"/>
              </w:rPr>
              <w:t>uses: actions/checkout@v4 | actions/configure-pages@v5 | actions/upload-pages-artifact@v3 | actions/deploy-pages@v4. The job holds pages: write and id-token: write.</w:t>
            </w:r>
          </w:p>
        </w:tc>
      </w:tr>
      <w:tr>
        <w:trPr>
          <w:cantSplit w:val="true"/>
        </w:trPr>
        <w:tc>
          <w:tcPr>
            <w:tcW w:type="dxa" w:w="1872"/>
            <w:shd w:val="clear" w:color="auto" w:fill="E8EEF8"/>
          </w:tcPr>
          <w:p>
            <w:pPr>
              <w:keepNext/>
              <w:spacing w:after="20"/>
            </w:pPr>
            <w:r/>
            <w:r>
              <w:rPr>
                <w:b/>
                <w:sz w:val="19"/>
              </w:rPr>
              <w:t>Impact</w:t>
            </w:r>
          </w:p>
        </w:tc>
        <w:tc>
          <w:tcPr>
            <w:tcW w:type="dxa" w:w="7776"/>
          </w:tcPr>
          <w:p>
            <w:pPr>
              <w:keepNext/>
              <w:spacing w:after="20"/>
            </w:pPr>
            <w:r/>
            <w:r>
              <w:rPr>
                <w:b w:val="0"/>
                <w:sz w:val="19"/>
              </w:rPr>
              <w:t>If a tag is moved or an action repository is compromised, attacker code runs with permission to publish the live site and mint an OIDC token. All four are GitHub-owned actions, which lowers the likelihood, but pinning is the standard control.</w:t>
            </w:r>
          </w:p>
        </w:tc>
      </w:tr>
      <w:tr>
        <w:trPr>
          <w:cantSplit w:val="true"/>
        </w:trPr>
        <w:tc>
          <w:tcPr>
            <w:tcW w:type="dxa" w:w="1872"/>
            <w:shd w:val="clear" w:color="auto" w:fill="E8EEF8"/>
          </w:tcPr>
          <w:p>
            <w:pPr>
              <w:spacing w:after="20"/>
            </w:pPr>
            <w:r/>
            <w:r>
              <w:rPr>
                <w:b/>
                <w:sz w:val="19"/>
              </w:rPr>
              <w:t>Recommended fix</w:t>
            </w:r>
          </w:p>
        </w:tc>
        <w:tc>
          <w:tcPr>
            <w:tcW w:type="dxa" w:w="7776"/>
          </w:tcPr>
          <w:p>
            <w:pPr>
              <w:spacing w:after="20"/>
            </w:pPr>
            <w:r/>
            <w:r>
              <w:rPr>
                <w:b w:val="0"/>
                <w:sz w:val="19"/>
              </w:rPr>
              <w:t>Pin each to the full commit SHA with the tag in a comment, for example: uses: actions/checkout@&lt;40-char-sha&gt; # v4. Resolve current SHAs with 'gh api repos/actions/checkout/git/ref/tags/v4'. Add a .github/dependabot.yml with package-ecosystem github-actions so pins stay current.</w:t>
            </w:r>
          </w:p>
        </w:tc>
      </w:tr>
    </w:tbl>
    <w:p>
      <w:pPr>
        <w:spacing w:after="40"/>
      </w:pPr>
    </w:p>
    <w:p>
      <w:pPr>
        <w:pStyle w:val="Heading2"/>
      </w:pPr>
      <w:r>
        <w:t>SEC-003  Unpinned npx package in .mcp.json</w:t>
      </w:r>
    </w:p>
    <w:tbl>
      <w:tblPr>
        <w:tblStyle w:val="TableGrid"/>
        <w:tblW w:type="auto" w:w="0"/>
        <w:tblLayout w:type="fixed"/>
        <w:tblLook w:firstColumn="1" w:firstRow="1" w:lastColumn="0" w:lastRow="0" w:noHBand="0" w:noVBand="1" w:val="04A0"/>
        <w:tblLayout w:type="fixed"/>
      </w:tblPr>
      <w:tblGrid>
        <w:gridCol w:w="1872"/>
        <w:gridCol w:w="7776"/>
      </w:tblGrid>
      <w:tr>
        <w:trPr>
          <w:cantSplit w:val="true"/>
        </w:trPr>
        <w:tc>
          <w:tcPr>
            <w:tcW w:type="dxa" w:w="1872"/>
            <w:shd w:val="clear" w:color="auto" w:fill="E8EEF8"/>
          </w:tcPr>
          <w:p>
            <w:pPr>
              <w:keepNext/>
              <w:spacing w:after="20"/>
            </w:pPr>
            <w:r/>
            <w:r>
              <w:rPr>
                <w:b/>
                <w:sz w:val="19"/>
              </w:rPr>
              <w:t>Severity</w:t>
            </w:r>
          </w:p>
        </w:tc>
        <w:tc>
          <w:tcPr>
            <w:tcW w:type="dxa" w:w="7776"/>
            <w:shd w:val="clear" w:color="auto" w:fill="FFE699"/>
          </w:tcPr>
          <w:p>
            <w:pPr>
              <w:keepNext/>
              <w:spacing w:after="20"/>
            </w:pPr>
            <w:r/>
            <w:r>
              <w:rPr>
                <w:b/>
                <w:sz w:val="19"/>
              </w:rPr>
              <w:t>Medium</w:t>
            </w:r>
          </w:p>
        </w:tc>
      </w:tr>
      <w:tr>
        <w:trPr>
          <w:cantSplit w:val="true"/>
        </w:trPr>
        <w:tc>
          <w:tcPr>
            <w:tcW w:type="dxa" w:w="1872"/>
            <w:shd w:val="clear" w:color="auto" w:fill="E8EEF8"/>
          </w:tcPr>
          <w:p>
            <w:pPr>
              <w:keepNext/>
              <w:spacing w:after="20"/>
            </w:pPr>
            <w:r/>
            <w:r>
              <w:rPr>
                <w:b/>
                <w:sz w:val="19"/>
              </w:rPr>
              <w:t>Category</w:t>
            </w:r>
          </w:p>
        </w:tc>
        <w:tc>
          <w:tcPr>
            <w:tcW w:type="dxa" w:w="7776"/>
          </w:tcPr>
          <w:p>
            <w:pPr>
              <w:keepNext/>
              <w:spacing w:after="20"/>
            </w:pPr>
            <w:r/>
            <w:r>
              <w:rPr>
                <w:b w:val="0"/>
                <w:sz w:val="19"/>
              </w:rPr>
              <w:t>A08 Software and Data Integrity Failures / CWE-1104</w:t>
            </w:r>
          </w:p>
        </w:tc>
      </w:tr>
      <w:tr>
        <w:trPr>
          <w:cantSplit w:val="true"/>
        </w:trPr>
        <w:tc>
          <w:tcPr>
            <w:tcW w:type="dxa" w:w="1872"/>
            <w:shd w:val="clear" w:color="auto" w:fill="E8EEF8"/>
          </w:tcPr>
          <w:p>
            <w:pPr>
              <w:keepNext/>
              <w:spacing w:after="20"/>
            </w:pPr>
            <w:r/>
            <w:r>
              <w:rPr>
                <w:b/>
                <w:sz w:val="19"/>
              </w:rPr>
              <w:t>Confidence</w:t>
            </w:r>
          </w:p>
        </w:tc>
        <w:tc>
          <w:tcPr>
            <w:tcW w:type="dxa" w:w="7776"/>
          </w:tcPr>
          <w:p>
            <w:pPr>
              <w:keepNext/>
              <w:spacing w:after="20"/>
            </w:pPr>
            <w:r/>
            <w:r>
              <w:rPr>
                <w:b w:val="0"/>
                <w:sz w:val="19"/>
              </w:rPr>
              <w:t>Confirmed</w:t>
            </w:r>
          </w:p>
        </w:tc>
      </w:tr>
      <w:tr>
        <w:trPr>
          <w:cantSplit w:val="true"/>
        </w:trPr>
        <w:tc>
          <w:tcPr>
            <w:tcW w:type="dxa" w:w="1872"/>
            <w:shd w:val="clear" w:color="auto" w:fill="E8EEF8"/>
          </w:tcPr>
          <w:p>
            <w:pPr>
              <w:keepNext/>
              <w:spacing w:after="20"/>
            </w:pPr>
            <w:r/>
            <w:r>
              <w:rPr>
                <w:b/>
                <w:sz w:val="19"/>
              </w:rPr>
              <w:t>Location</w:t>
            </w:r>
          </w:p>
        </w:tc>
        <w:tc>
          <w:tcPr>
            <w:tcW w:type="dxa" w:w="7776"/>
          </w:tcPr>
          <w:p>
            <w:pPr>
              <w:keepNext/>
              <w:spacing w:after="20"/>
            </w:pPr>
            <w:r/>
            <w:r>
              <w:rPr>
                <w:b w:val="0"/>
                <w:sz w:val="19"/>
              </w:rPr>
              <w:t>.mcp.json:5</w:t>
            </w:r>
          </w:p>
        </w:tc>
      </w:tr>
      <w:tr>
        <w:trPr>
          <w:cantSplit w:val="true"/>
        </w:trPr>
        <w:tc>
          <w:tcPr>
            <w:tcW w:type="dxa" w:w="1872"/>
            <w:shd w:val="clear" w:color="auto" w:fill="E8EEF8"/>
          </w:tcPr>
          <w:p>
            <w:pPr>
              <w:keepNext/>
              <w:spacing w:after="20"/>
            </w:pPr>
            <w:r/>
            <w:r>
              <w:rPr>
                <w:b/>
                <w:sz w:val="19"/>
              </w:rPr>
              <w:t>Effort</w:t>
            </w:r>
          </w:p>
        </w:tc>
        <w:tc>
          <w:tcPr>
            <w:tcW w:type="dxa" w:w="7776"/>
          </w:tcPr>
          <w:p>
            <w:pPr>
              <w:keepNext/>
              <w:spacing w:after="20"/>
            </w:pPr>
            <w:r/>
            <w:r>
              <w:rPr>
                <w:b w:val="0"/>
                <w:sz w:val="19"/>
              </w:rPr>
              <w:t>Low</w:t>
            </w:r>
          </w:p>
        </w:tc>
      </w:tr>
      <w:tr>
        <w:trPr>
          <w:cantSplit w:val="true"/>
        </w:trPr>
        <w:tc>
          <w:tcPr>
            <w:tcW w:type="dxa" w:w="1872"/>
            <w:shd w:val="clear" w:color="auto" w:fill="E8EEF8"/>
          </w:tcPr>
          <w:p>
            <w:pPr>
              <w:keepNext/>
              <w:spacing w:after="20"/>
            </w:pPr>
            <w:r/>
            <w:r>
              <w:rPr>
                <w:b/>
                <w:sz w:val="19"/>
              </w:rPr>
              <w:t>Evidence</w:t>
            </w:r>
          </w:p>
        </w:tc>
        <w:tc>
          <w:tcPr>
            <w:tcW w:type="dxa" w:w="7776"/>
          </w:tcPr>
          <w:p>
            <w:pPr>
              <w:keepNext/>
              <w:spacing w:after="20"/>
            </w:pPr>
            <w:r/>
            <w:r>
              <w:rPr>
                <w:rFonts w:ascii="Consolas" w:hAnsi="Consolas"/>
                <w:b w:val="0"/>
                <w:sz w:val="17"/>
              </w:rPr>
              <w:t>"args": ["@playwright/mcp@latest"] with "command": "npx".</w:t>
            </w:r>
          </w:p>
        </w:tc>
      </w:tr>
      <w:tr>
        <w:trPr>
          <w:cantSplit w:val="true"/>
        </w:trPr>
        <w:tc>
          <w:tcPr>
            <w:tcW w:type="dxa" w:w="1872"/>
            <w:shd w:val="clear" w:color="auto" w:fill="E8EEF8"/>
          </w:tcPr>
          <w:p>
            <w:pPr>
              <w:keepNext/>
              <w:spacing w:after="20"/>
            </w:pPr>
            <w:r/>
            <w:r>
              <w:rPr>
                <w:b/>
                <w:sz w:val="19"/>
              </w:rPr>
              <w:t>Impact</w:t>
            </w:r>
          </w:p>
        </w:tc>
        <w:tc>
          <w:tcPr>
            <w:tcW w:type="dxa" w:w="7776"/>
          </w:tcPr>
          <w:p>
            <w:pPr>
              <w:keepNext/>
              <w:spacing w:after="20"/>
            </w:pPr>
            <w:r/>
            <w:r>
              <w:rPr>
                <w:b w:val="0"/>
                <w:sz w:val="19"/>
              </w:rPr>
              <w:t>Every session that starts this MCP server downloads and runs whatever version is newest on npm, with the developer's file and browser access. A compromised or buggy release would run automatically.</w:t>
            </w:r>
          </w:p>
        </w:tc>
      </w:tr>
      <w:tr>
        <w:trPr>
          <w:cantSplit w:val="true"/>
        </w:trPr>
        <w:tc>
          <w:tcPr>
            <w:tcW w:type="dxa" w:w="1872"/>
            <w:shd w:val="clear" w:color="auto" w:fill="E8EEF8"/>
          </w:tcPr>
          <w:p>
            <w:pPr>
              <w:spacing w:after="20"/>
            </w:pPr>
            <w:r/>
            <w:r>
              <w:rPr>
                <w:b/>
                <w:sz w:val="19"/>
              </w:rPr>
              <w:t>Recommended fix</w:t>
            </w:r>
          </w:p>
        </w:tc>
        <w:tc>
          <w:tcPr>
            <w:tcW w:type="dxa" w:w="7776"/>
          </w:tcPr>
          <w:p>
            <w:pPr>
              <w:spacing w:after="20"/>
            </w:pPr>
            <w:r/>
            <w:r>
              <w:rPr>
                <w:b w:val="0"/>
                <w:sz w:val="19"/>
              </w:rPr>
              <w:t>Pin an exact version, for example "@playwright/mcp@&lt;x.y.z&gt;", and review upgrades deliberately.</w:t>
            </w:r>
          </w:p>
        </w:tc>
      </w:tr>
    </w:tbl>
    <w:p>
      <w:pPr>
        <w:spacing w:after="40"/>
      </w:pPr>
    </w:p>
    <w:p>
      <w:pPr>
        <w:pStyle w:val="Heading2"/>
      </w:pPr>
      <w:r>
        <w:t>SEC-004  Assignee field has no length limit</w:t>
      </w:r>
    </w:p>
    <w:tbl>
      <w:tblPr>
        <w:tblStyle w:val="TableGrid"/>
        <w:tblW w:type="auto" w:w="0"/>
        <w:tblLayout w:type="fixed"/>
        <w:tblLook w:firstColumn="1" w:firstRow="1" w:lastColumn="0" w:lastRow="0" w:noHBand="0" w:noVBand="1" w:val="04A0"/>
        <w:tblLayout w:type="fixed"/>
      </w:tblPr>
      <w:tblGrid>
        <w:gridCol w:w="1872"/>
        <w:gridCol w:w="7776"/>
      </w:tblGrid>
      <w:tr>
        <w:trPr>
          <w:cantSplit w:val="true"/>
        </w:trPr>
        <w:tc>
          <w:tcPr>
            <w:tcW w:type="dxa" w:w="1872"/>
            <w:shd w:val="clear" w:color="auto" w:fill="E8EEF8"/>
          </w:tcPr>
          <w:p>
            <w:pPr>
              <w:keepNext/>
              <w:spacing w:after="20"/>
            </w:pPr>
            <w:r/>
            <w:r>
              <w:rPr>
                <w:b/>
                <w:sz w:val="19"/>
              </w:rPr>
              <w:t>Severity</w:t>
            </w:r>
          </w:p>
        </w:tc>
        <w:tc>
          <w:tcPr>
            <w:tcW w:type="dxa" w:w="7776"/>
            <w:shd w:val="clear" w:color="auto" w:fill="C6E0F5"/>
          </w:tcPr>
          <w:p>
            <w:pPr>
              <w:keepNext/>
              <w:spacing w:after="20"/>
            </w:pPr>
            <w:r/>
            <w:r>
              <w:rPr>
                <w:b/>
                <w:sz w:val="19"/>
              </w:rPr>
              <w:t>Low</w:t>
            </w:r>
          </w:p>
        </w:tc>
      </w:tr>
      <w:tr>
        <w:trPr>
          <w:cantSplit w:val="true"/>
        </w:trPr>
        <w:tc>
          <w:tcPr>
            <w:tcW w:type="dxa" w:w="1872"/>
            <w:shd w:val="clear" w:color="auto" w:fill="E8EEF8"/>
          </w:tcPr>
          <w:p>
            <w:pPr>
              <w:keepNext/>
              <w:spacing w:after="20"/>
            </w:pPr>
            <w:r/>
            <w:r>
              <w:rPr>
                <w:b/>
                <w:sz w:val="19"/>
              </w:rPr>
              <w:t>Category</w:t>
            </w:r>
          </w:p>
        </w:tc>
        <w:tc>
          <w:tcPr>
            <w:tcW w:type="dxa" w:w="7776"/>
          </w:tcPr>
          <w:p>
            <w:pPr>
              <w:keepNext/>
              <w:spacing w:after="20"/>
            </w:pPr>
            <w:r/>
            <w:r>
              <w:rPr>
                <w:b w:val="0"/>
                <w:sz w:val="19"/>
              </w:rPr>
              <w:t>A04 Insecure Design / CWE-770, CWE-1284</w:t>
            </w:r>
          </w:p>
        </w:tc>
      </w:tr>
      <w:tr>
        <w:trPr>
          <w:cantSplit w:val="true"/>
        </w:trPr>
        <w:tc>
          <w:tcPr>
            <w:tcW w:type="dxa" w:w="1872"/>
            <w:shd w:val="clear" w:color="auto" w:fill="E8EEF8"/>
          </w:tcPr>
          <w:p>
            <w:pPr>
              <w:keepNext/>
              <w:spacing w:after="20"/>
            </w:pPr>
            <w:r/>
            <w:r>
              <w:rPr>
                <w:b/>
                <w:sz w:val="19"/>
              </w:rPr>
              <w:t>Confidence</w:t>
            </w:r>
          </w:p>
        </w:tc>
        <w:tc>
          <w:tcPr>
            <w:tcW w:type="dxa" w:w="7776"/>
          </w:tcPr>
          <w:p>
            <w:pPr>
              <w:keepNext/>
              <w:spacing w:after="20"/>
            </w:pPr>
            <w:r/>
            <w:r>
              <w:rPr>
                <w:b w:val="0"/>
                <w:sz w:val="19"/>
              </w:rPr>
              <w:t>Confirmed</w:t>
            </w:r>
          </w:p>
        </w:tc>
      </w:tr>
      <w:tr>
        <w:trPr>
          <w:cantSplit w:val="true"/>
        </w:trPr>
        <w:tc>
          <w:tcPr>
            <w:tcW w:type="dxa" w:w="1872"/>
            <w:shd w:val="clear" w:color="auto" w:fill="E8EEF8"/>
          </w:tcPr>
          <w:p>
            <w:pPr>
              <w:keepNext/>
              <w:spacing w:after="20"/>
            </w:pPr>
            <w:r/>
            <w:r>
              <w:rPr>
                <w:b/>
                <w:sz w:val="19"/>
              </w:rPr>
              <w:t>Location</w:t>
            </w:r>
          </w:p>
        </w:tc>
        <w:tc>
          <w:tcPr>
            <w:tcW w:type="dxa" w:w="7776"/>
          </w:tcPr>
          <w:p>
            <w:pPr>
              <w:keepNext/>
              <w:spacing w:after="20"/>
            </w:pPr>
            <w:r/>
            <w:r>
              <w:rPr>
                <w:b w:val="0"/>
                <w:sz w:val="19"/>
              </w:rPr>
              <w:t>index.html:711 and 1411-1435</w:t>
            </w:r>
          </w:p>
        </w:tc>
      </w:tr>
      <w:tr>
        <w:trPr>
          <w:cantSplit w:val="true"/>
        </w:trPr>
        <w:tc>
          <w:tcPr>
            <w:tcW w:type="dxa" w:w="1872"/>
            <w:shd w:val="clear" w:color="auto" w:fill="E8EEF8"/>
          </w:tcPr>
          <w:p>
            <w:pPr>
              <w:keepNext/>
              <w:spacing w:after="20"/>
            </w:pPr>
            <w:r/>
            <w:r>
              <w:rPr>
                <w:b/>
                <w:sz w:val="19"/>
              </w:rPr>
              <w:t>Effort</w:t>
            </w:r>
          </w:p>
        </w:tc>
        <w:tc>
          <w:tcPr>
            <w:tcW w:type="dxa" w:w="7776"/>
          </w:tcPr>
          <w:p>
            <w:pPr>
              <w:keepNext/>
              <w:spacing w:after="20"/>
            </w:pPr>
            <w:r/>
            <w:r>
              <w:rPr>
                <w:b w:val="0"/>
                <w:sz w:val="19"/>
              </w:rPr>
              <w:t>Low</w:t>
            </w:r>
          </w:p>
        </w:tc>
      </w:tr>
      <w:tr>
        <w:trPr>
          <w:cantSplit w:val="true"/>
        </w:trPr>
        <w:tc>
          <w:tcPr>
            <w:tcW w:type="dxa" w:w="1872"/>
            <w:shd w:val="clear" w:color="auto" w:fill="E8EEF8"/>
          </w:tcPr>
          <w:p>
            <w:pPr>
              <w:keepNext/>
              <w:spacing w:after="20"/>
            </w:pPr>
            <w:r/>
            <w:r>
              <w:rPr>
                <w:b/>
                <w:sz w:val="19"/>
              </w:rPr>
              <w:t>Evidence</w:t>
            </w:r>
          </w:p>
        </w:tc>
        <w:tc>
          <w:tcPr>
            <w:tcW w:type="dxa" w:w="7776"/>
          </w:tcPr>
          <w:p>
            <w:pPr>
              <w:keepNext/>
              <w:spacing w:after="20"/>
            </w:pPr>
            <w:r/>
            <w:r>
              <w:rPr>
                <w:rFonts w:ascii="Consolas" w:hAnsi="Consolas"/>
                <w:b w:val="0"/>
                <w:sz w:val="17"/>
              </w:rPr>
              <w:t>&lt;input type="text" id="field-assignee" required&gt; has no maxlength, and validateForm() checks only that it is not empty. Title (80) and description (500) are limited in both HTML and JS.</w:t>
            </w:r>
          </w:p>
        </w:tc>
      </w:tr>
      <w:tr>
        <w:trPr>
          <w:cantSplit w:val="true"/>
        </w:trPr>
        <w:tc>
          <w:tcPr>
            <w:tcW w:type="dxa" w:w="1872"/>
            <w:shd w:val="clear" w:color="auto" w:fill="E8EEF8"/>
          </w:tcPr>
          <w:p>
            <w:pPr>
              <w:keepNext/>
              <w:spacing w:after="20"/>
            </w:pPr>
            <w:r/>
            <w:r>
              <w:rPr>
                <w:b/>
                <w:sz w:val="19"/>
              </w:rPr>
              <w:t>Impact</w:t>
            </w:r>
          </w:p>
        </w:tc>
        <w:tc>
          <w:tcPr>
            <w:tcW w:type="dxa" w:w="7776"/>
          </w:tcPr>
          <w:p>
            <w:pPr>
              <w:keepNext/>
              <w:spacing w:after="20"/>
            </w:pPr>
            <w:r/>
            <w:r>
              <w:rPr>
                <w:b w:val="0"/>
                <w:sz w:val="19"/>
              </w:rPr>
              <w:t>A user can add a task with an assignee of any size. In the dynamic test a 200,000-character assignee was accepted, rendered on four panels and sent to FormSubmit. Impact is limited to the user's own tab and an oversized notification email.</w:t>
            </w:r>
          </w:p>
        </w:tc>
      </w:tr>
      <w:tr>
        <w:trPr>
          <w:cantSplit w:val="true"/>
        </w:trPr>
        <w:tc>
          <w:tcPr>
            <w:tcW w:type="dxa" w:w="1872"/>
            <w:shd w:val="clear" w:color="auto" w:fill="E8EEF8"/>
          </w:tcPr>
          <w:p>
            <w:pPr>
              <w:spacing w:after="20"/>
            </w:pPr>
            <w:r/>
            <w:r>
              <w:rPr>
                <w:b/>
                <w:sz w:val="19"/>
              </w:rPr>
              <w:t>Recommended fix</w:t>
            </w:r>
          </w:p>
        </w:tc>
        <w:tc>
          <w:tcPr>
            <w:tcW w:type="dxa" w:w="7776"/>
          </w:tcPr>
          <w:p>
            <w:pPr>
              <w:spacing w:after="20"/>
            </w:pPr>
            <w:r/>
            <w:r>
              <w:rPr>
                <w:b w:val="0"/>
                <w:sz w:val="19"/>
              </w:rPr>
              <w:t>Add maxlength="60" to the input and in validateForm(): else if (values.assignee.length &gt; 60) errors.assignee = "Assignee must be 60 characters or fewer."; Also enforce the project, category, priority and status values against the existing allowlists (PROJECTS, PRIORITIES, STATUSES).</w:t>
            </w:r>
          </w:p>
        </w:tc>
      </w:tr>
    </w:tbl>
    <w:p>
      <w:pPr>
        <w:spacing w:after="40"/>
      </w:pPr>
    </w:p>
    <w:p>
      <w:pPr>
        <w:pStyle w:val="Heading2"/>
      </w:pPr>
      <w:r>
        <w:t>SEC-005  No abuse control on the notification call; FormSubmit captcha disabled</w:t>
      </w:r>
    </w:p>
    <w:tbl>
      <w:tblPr>
        <w:tblStyle w:val="TableGrid"/>
        <w:tblW w:type="auto" w:w="0"/>
        <w:tblLayout w:type="fixed"/>
        <w:tblLook w:firstColumn="1" w:firstRow="1" w:lastColumn="0" w:lastRow="0" w:noHBand="0" w:noVBand="1" w:val="04A0"/>
        <w:tblLayout w:type="fixed"/>
      </w:tblPr>
      <w:tblGrid>
        <w:gridCol w:w="1872"/>
        <w:gridCol w:w="7776"/>
      </w:tblGrid>
      <w:tr>
        <w:trPr>
          <w:cantSplit w:val="true"/>
        </w:trPr>
        <w:tc>
          <w:tcPr>
            <w:tcW w:type="dxa" w:w="1872"/>
            <w:shd w:val="clear" w:color="auto" w:fill="E8EEF8"/>
          </w:tcPr>
          <w:p>
            <w:pPr>
              <w:keepNext/>
              <w:spacing w:after="20"/>
            </w:pPr>
            <w:r/>
            <w:r>
              <w:rPr>
                <w:b/>
                <w:sz w:val="19"/>
              </w:rPr>
              <w:t>Severity</w:t>
            </w:r>
          </w:p>
        </w:tc>
        <w:tc>
          <w:tcPr>
            <w:tcW w:type="dxa" w:w="7776"/>
            <w:shd w:val="clear" w:color="auto" w:fill="C6E0F5"/>
          </w:tcPr>
          <w:p>
            <w:pPr>
              <w:keepNext/>
              <w:spacing w:after="20"/>
            </w:pPr>
            <w:r/>
            <w:r>
              <w:rPr>
                <w:b/>
                <w:sz w:val="19"/>
              </w:rPr>
              <w:t>Low</w:t>
            </w:r>
          </w:p>
        </w:tc>
      </w:tr>
      <w:tr>
        <w:trPr>
          <w:cantSplit w:val="true"/>
        </w:trPr>
        <w:tc>
          <w:tcPr>
            <w:tcW w:type="dxa" w:w="1872"/>
            <w:shd w:val="clear" w:color="auto" w:fill="E8EEF8"/>
          </w:tcPr>
          <w:p>
            <w:pPr>
              <w:keepNext/>
              <w:spacing w:after="20"/>
            </w:pPr>
            <w:r/>
            <w:r>
              <w:rPr>
                <w:b/>
                <w:sz w:val="19"/>
              </w:rPr>
              <w:t>Category</w:t>
            </w:r>
          </w:p>
        </w:tc>
        <w:tc>
          <w:tcPr>
            <w:tcW w:type="dxa" w:w="7776"/>
          </w:tcPr>
          <w:p>
            <w:pPr>
              <w:keepNext/>
              <w:spacing w:after="20"/>
            </w:pPr>
            <w:r/>
            <w:r>
              <w:rPr>
                <w:b w:val="0"/>
                <w:sz w:val="19"/>
              </w:rPr>
              <w:t>A04 Insecure Design / CWE-770, CWE-799</w:t>
            </w:r>
          </w:p>
        </w:tc>
      </w:tr>
      <w:tr>
        <w:trPr>
          <w:cantSplit w:val="true"/>
        </w:trPr>
        <w:tc>
          <w:tcPr>
            <w:tcW w:type="dxa" w:w="1872"/>
            <w:shd w:val="clear" w:color="auto" w:fill="E8EEF8"/>
          </w:tcPr>
          <w:p>
            <w:pPr>
              <w:keepNext/>
              <w:spacing w:after="20"/>
            </w:pPr>
            <w:r/>
            <w:r>
              <w:rPr>
                <w:b/>
                <w:sz w:val="19"/>
              </w:rPr>
              <w:t>Confidence</w:t>
            </w:r>
          </w:p>
        </w:tc>
        <w:tc>
          <w:tcPr>
            <w:tcW w:type="dxa" w:w="7776"/>
          </w:tcPr>
          <w:p>
            <w:pPr>
              <w:keepNext/>
              <w:spacing w:after="20"/>
            </w:pPr>
            <w:r/>
            <w:r>
              <w:rPr>
                <w:b w:val="0"/>
                <w:sz w:val="19"/>
              </w:rPr>
              <w:t>Likely</w:t>
            </w:r>
          </w:p>
        </w:tc>
      </w:tr>
      <w:tr>
        <w:trPr>
          <w:cantSplit w:val="true"/>
        </w:trPr>
        <w:tc>
          <w:tcPr>
            <w:tcW w:type="dxa" w:w="1872"/>
            <w:shd w:val="clear" w:color="auto" w:fill="E8EEF8"/>
          </w:tcPr>
          <w:p>
            <w:pPr>
              <w:keepNext/>
              <w:spacing w:after="20"/>
            </w:pPr>
            <w:r/>
            <w:r>
              <w:rPr>
                <w:b/>
                <w:sz w:val="19"/>
              </w:rPr>
              <w:t>Location</w:t>
            </w:r>
          </w:p>
        </w:tc>
        <w:tc>
          <w:tcPr>
            <w:tcW w:type="dxa" w:w="7776"/>
          </w:tcPr>
          <w:p>
            <w:pPr>
              <w:keepNext/>
              <w:spacing w:after="20"/>
            </w:pPr>
            <w:r/>
            <w:r>
              <w:rPr>
                <w:b w:val="0"/>
                <w:sz w:val="19"/>
              </w:rPr>
              <w:t>index.html:1356-1376, 1364</w:t>
            </w:r>
          </w:p>
        </w:tc>
      </w:tr>
      <w:tr>
        <w:trPr>
          <w:cantSplit w:val="true"/>
        </w:trPr>
        <w:tc>
          <w:tcPr>
            <w:tcW w:type="dxa" w:w="1872"/>
            <w:shd w:val="clear" w:color="auto" w:fill="E8EEF8"/>
          </w:tcPr>
          <w:p>
            <w:pPr>
              <w:keepNext/>
              <w:spacing w:after="20"/>
            </w:pPr>
            <w:r/>
            <w:r>
              <w:rPr>
                <w:b/>
                <w:sz w:val="19"/>
              </w:rPr>
              <w:t>Effort</w:t>
            </w:r>
          </w:p>
        </w:tc>
        <w:tc>
          <w:tcPr>
            <w:tcW w:type="dxa" w:w="7776"/>
          </w:tcPr>
          <w:p>
            <w:pPr>
              <w:keepNext/>
              <w:spacing w:after="20"/>
            </w:pPr>
            <w:r/>
            <w:r>
              <w:rPr>
                <w:b w:val="0"/>
                <w:sz w:val="19"/>
              </w:rPr>
              <w:t>Medium</w:t>
            </w:r>
          </w:p>
        </w:tc>
      </w:tr>
      <w:tr>
        <w:trPr>
          <w:cantSplit w:val="true"/>
        </w:trPr>
        <w:tc>
          <w:tcPr>
            <w:tcW w:type="dxa" w:w="1872"/>
            <w:shd w:val="clear" w:color="auto" w:fill="E8EEF8"/>
          </w:tcPr>
          <w:p>
            <w:pPr>
              <w:keepNext/>
              <w:spacing w:after="20"/>
            </w:pPr>
            <w:r/>
            <w:r>
              <w:rPr>
                <w:b/>
                <w:sz w:val="19"/>
              </w:rPr>
              <w:t>Evidence</w:t>
            </w:r>
          </w:p>
        </w:tc>
        <w:tc>
          <w:tcPr>
            <w:tcW w:type="dxa" w:w="7776"/>
          </w:tcPr>
          <w:p>
            <w:pPr>
              <w:keepNext/>
              <w:spacing w:after="20"/>
            </w:pPr>
            <w:r/>
            <w:r>
              <w:rPr>
                <w:rFonts w:ascii="Consolas" w:hAnsi="Consolas"/>
                <w:b w:val="0"/>
                <w:sz w:val="17"/>
              </w:rPr>
              <w:t>Each Add Task sends one POST to FORMSUBMIT_ENDPOINT with "_captcha": "false". There is no cooldown, counter or cap, and the submit button is re-enabled as soon as the request settles.</w:t>
            </w:r>
          </w:p>
        </w:tc>
      </w:tr>
      <w:tr>
        <w:trPr>
          <w:cantSplit w:val="true"/>
        </w:trPr>
        <w:tc>
          <w:tcPr>
            <w:tcW w:type="dxa" w:w="1872"/>
            <w:shd w:val="clear" w:color="auto" w:fill="E8EEF8"/>
          </w:tcPr>
          <w:p>
            <w:pPr>
              <w:keepNext/>
              <w:spacing w:after="20"/>
            </w:pPr>
            <w:r/>
            <w:r>
              <w:rPr>
                <w:b/>
                <w:sz w:val="19"/>
              </w:rPr>
              <w:t>Impact</w:t>
            </w:r>
          </w:p>
        </w:tc>
        <w:tc>
          <w:tcPr>
            <w:tcW w:type="dxa" w:w="7776"/>
          </w:tcPr>
          <w:p>
            <w:pPr>
              <w:keepNext/>
              <w:spacing w:after="20"/>
            </w:pPr>
            <w:r/>
            <w:r>
              <w:rPr>
                <w:b w:val="0"/>
                <w:sz w:val="19"/>
              </w:rPr>
              <w:t>Once a real address is configured on a public site, any visitor can script the form (or a loop in the console) and flood the owner's inbox with attacker-controlled text. Rated Low now because the endpoint holds a placeholder; it rises to Medium when a real address is published.</w:t>
            </w:r>
          </w:p>
        </w:tc>
      </w:tr>
      <w:tr>
        <w:trPr>
          <w:cantSplit w:val="true"/>
        </w:trPr>
        <w:tc>
          <w:tcPr>
            <w:tcW w:type="dxa" w:w="1872"/>
            <w:shd w:val="clear" w:color="auto" w:fill="E8EEF8"/>
          </w:tcPr>
          <w:p>
            <w:pPr>
              <w:spacing w:after="20"/>
            </w:pPr>
            <w:r/>
            <w:r>
              <w:rPr>
                <w:b/>
                <w:sz w:val="19"/>
              </w:rPr>
              <w:t>Recommended fix</w:t>
            </w:r>
          </w:p>
        </w:tc>
        <w:tc>
          <w:tcPr>
            <w:tcW w:type="dxa" w:w="7776"/>
          </w:tcPr>
          <w:p>
            <w:pPr>
              <w:spacing w:after="20"/>
            </w:pPr>
            <w:r/>
            <w:r>
              <w:rPr>
                <w:b w:val="0"/>
                <w:sz w:val="19"/>
              </w:rPr>
              <w:t>Add a client-side cooldown (for example ignore notifications within 10 seconds of the last one and cap at 20 per page load) inside notifyNewTask(), keeping the card-add path unaffected. Accept that client checks only slow casual abuse; for real protection use FormSubmit's own captcha or a dedicated alias mailbox that can be discarded.</w:t>
            </w:r>
          </w:p>
        </w:tc>
      </w:tr>
    </w:tbl>
    <w:p>
      <w:pPr>
        <w:spacing w:after="40"/>
      </w:pPr>
    </w:p>
    <w:p>
      <w:pPr>
        <w:pStyle w:val="Heading2"/>
      </w:pPr>
      <w:r>
        <w:t>SEC-006  Broad tool permissions in agents and slash commands</w:t>
      </w:r>
    </w:p>
    <w:tbl>
      <w:tblPr>
        <w:tblStyle w:val="TableGrid"/>
        <w:tblW w:type="auto" w:w="0"/>
        <w:tblLayout w:type="fixed"/>
        <w:tblLook w:firstColumn="1" w:firstRow="1" w:lastColumn="0" w:lastRow="0" w:noHBand="0" w:noVBand="1" w:val="04A0"/>
        <w:tblLayout w:type="fixed"/>
      </w:tblPr>
      <w:tblGrid>
        <w:gridCol w:w="1872"/>
        <w:gridCol w:w="7776"/>
      </w:tblGrid>
      <w:tr>
        <w:trPr>
          <w:cantSplit w:val="true"/>
        </w:trPr>
        <w:tc>
          <w:tcPr>
            <w:tcW w:type="dxa" w:w="1872"/>
            <w:shd w:val="clear" w:color="auto" w:fill="E8EEF8"/>
          </w:tcPr>
          <w:p>
            <w:pPr>
              <w:keepNext/>
              <w:spacing w:after="20"/>
            </w:pPr>
            <w:r/>
            <w:r>
              <w:rPr>
                <w:b/>
                <w:sz w:val="19"/>
              </w:rPr>
              <w:t>Severity</w:t>
            </w:r>
          </w:p>
        </w:tc>
        <w:tc>
          <w:tcPr>
            <w:tcW w:type="dxa" w:w="7776"/>
            <w:shd w:val="clear" w:color="auto" w:fill="C6E0F5"/>
          </w:tcPr>
          <w:p>
            <w:pPr>
              <w:keepNext/>
              <w:spacing w:after="20"/>
            </w:pPr>
            <w:r/>
            <w:r>
              <w:rPr>
                <w:b/>
                <w:sz w:val="19"/>
              </w:rPr>
              <w:t>Low</w:t>
            </w:r>
          </w:p>
        </w:tc>
      </w:tr>
      <w:tr>
        <w:trPr>
          <w:cantSplit w:val="true"/>
        </w:trPr>
        <w:tc>
          <w:tcPr>
            <w:tcW w:type="dxa" w:w="1872"/>
            <w:shd w:val="clear" w:color="auto" w:fill="E8EEF8"/>
          </w:tcPr>
          <w:p>
            <w:pPr>
              <w:keepNext/>
              <w:spacing w:after="20"/>
            </w:pPr>
            <w:r/>
            <w:r>
              <w:rPr>
                <w:b/>
                <w:sz w:val="19"/>
              </w:rPr>
              <w:t>Category</w:t>
            </w:r>
          </w:p>
        </w:tc>
        <w:tc>
          <w:tcPr>
            <w:tcW w:type="dxa" w:w="7776"/>
          </w:tcPr>
          <w:p>
            <w:pPr>
              <w:keepNext/>
              <w:spacing w:after="20"/>
            </w:pPr>
            <w:r/>
            <w:r>
              <w:rPr>
                <w:b w:val="0"/>
                <w:sz w:val="19"/>
              </w:rPr>
              <w:t>A05 Security Misconfiguration / CWE-250</w:t>
            </w:r>
          </w:p>
        </w:tc>
      </w:tr>
      <w:tr>
        <w:trPr>
          <w:cantSplit w:val="true"/>
        </w:trPr>
        <w:tc>
          <w:tcPr>
            <w:tcW w:type="dxa" w:w="1872"/>
            <w:shd w:val="clear" w:color="auto" w:fill="E8EEF8"/>
          </w:tcPr>
          <w:p>
            <w:pPr>
              <w:keepNext/>
              <w:spacing w:after="20"/>
            </w:pPr>
            <w:r/>
            <w:r>
              <w:rPr>
                <w:b/>
                <w:sz w:val="19"/>
              </w:rPr>
              <w:t>Confidence</w:t>
            </w:r>
          </w:p>
        </w:tc>
        <w:tc>
          <w:tcPr>
            <w:tcW w:type="dxa" w:w="7776"/>
          </w:tcPr>
          <w:p>
            <w:pPr>
              <w:keepNext/>
              <w:spacing w:after="20"/>
            </w:pPr>
            <w:r/>
            <w:r>
              <w:rPr>
                <w:b w:val="0"/>
                <w:sz w:val="19"/>
              </w:rPr>
              <w:t>Confirmed</w:t>
            </w:r>
          </w:p>
        </w:tc>
      </w:tr>
      <w:tr>
        <w:trPr>
          <w:cantSplit w:val="true"/>
        </w:trPr>
        <w:tc>
          <w:tcPr>
            <w:tcW w:type="dxa" w:w="1872"/>
            <w:shd w:val="clear" w:color="auto" w:fill="E8EEF8"/>
          </w:tcPr>
          <w:p>
            <w:pPr>
              <w:keepNext/>
              <w:spacing w:after="20"/>
            </w:pPr>
            <w:r/>
            <w:r>
              <w:rPr>
                <w:b/>
                <w:sz w:val="19"/>
              </w:rPr>
              <w:t>Location</w:t>
            </w:r>
          </w:p>
        </w:tc>
        <w:tc>
          <w:tcPr>
            <w:tcW w:type="dxa" w:w="7776"/>
          </w:tcPr>
          <w:p>
            <w:pPr>
              <w:keepNext/>
              <w:spacing w:after="20"/>
            </w:pPr>
            <w:r/>
            <w:r>
              <w:rPr>
                <w:b w:val="0"/>
                <w:sz w:val="19"/>
              </w:rPr>
              <w:t>.claude/commands/rina-prj-automation.md:4; rina-trn-prj2.md:4; update-artifact.md:4; agents/pmo-agent.md:4; agents/security-scanner.md:4</w:t>
            </w:r>
          </w:p>
        </w:tc>
      </w:tr>
      <w:tr>
        <w:trPr>
          <w:cantSplit w:val="true"/>
        </w:trPr>
        <w:tc>
          <w:tcPr>
            <w:tcW w:type="dxa" w:w="1872"/>
            <w:shd w:val="clear" w:color="auto" w:fill="E8EEF8"/>
          </w:tcPr>
          <w:p>
            <w:pPr>
              <w:keepNext/>
              <w:spacing w:after="20"/>
            </w:pPr>
            <w:r/>
            <w:r>
              <w:rPr>
                <w:b/>
                <w:sz w:val="19"/>
              </w:rPr>
              <w:t>Effort</w:t>
            </w:r>
          </w:p>
        </w:tc>
        <w:tc>
          <w:tcPr>
            <w:tcW w:type="dxa" w:w="7776"/>
          </w:tcPr>
          <w:p>
            <w:pPr>
              <w:keepNext/>
              <w:spacing w:after="20"/>
            </w:pPr>
            <w:r/>
            <w:r>
              <w:rPr>
                <w:b w:val="0"/>
                <w:sz w:val="19"/>
              </w:rPr>
              <w:t>Medium</w:t>
            </w:r>
          </w:p>
        </w:tc>
      </w:tr>
      <w:tr>
        <w:trPr>
          <w:cantSplit w:val="true"/>
        </w:trPr>
        <w:tc>
          <w:tcPr>
            <w:tcW w:type="dxa" w:w="1872"/>
            <w:shd w:val="clear" w:color="auto" w:fill="E8EEF8"/>
          </w:tcPr>
          <w:p>
            <w:pPr>
              <w:keepNext/>
              <w:spacing w:after="20"/>
            </w:pPr>
            <w:r/>
            <w:r>
              <w:rPr>
                <w:b/>
                <w:sz w:val="19"/>
              </w:rPr>
              <w:t>Evidence</w:t>
            </w:r>
          </w:p>
        </w:tc>
        <w:tc>
          <w:tcPr>
            <w:tcW w:type="dxa" w:w="7776"/>
          </w:tcPr>
          <w:p>
            <w:pPr>
              <w:keepNext/>
              <w:spacing w:after="20"/>
            </w:pPr>
            <w:r/>
            <w:r>
              <w:rPr>
                <w:rFonts w:ascii="Consolas" w:hAnsi="Consolas"/>
                <w:b w:val="0"/>
                <w:sz w:val="17"/>
              </w:rPr>
              <w:t>allowed-tools includes mcp__github__* (all GitHub write tools), Bash(git:*) (includes push) and Bash(python3:*) (arbitrary code). Both agents list unrestricted Bash, and security-scanner, described as read-only, also has Write. Commands read live artifact content and build on it.</w:t>
            </w:r>
          </w:p>
        </w:tc>
      </w:tr>
      <w:tr>
        <w:trPr>
          <w:cantSplit w:val="true"/>
        </w:trPr>
        <w:tc>
          <w:tcPr>
            <w:tcW w:type="dxa" w:w="1872"/>
            <w:shd w:val="clear" w:color="auto" w:fill="E8EEF8"/>
          </w:tcPr>
          <w:p>
            <w:pPr>
              <w:keepNext/>
              <w:spacing w:after="20"/>
            </w:pPr>
            <w:r/>
            <w:r>
              <w:rPr>
                <w:b/>
                <w:sz w:val="19"/>
              </w:rPr>
              <w:t>Impact</w:t>
            </w:r>
          </w:p>
        </w:tc>
        <w:tc>
          <w:tcPr>
            <w:tcW w:type="dxa" w:w="7776"/>
          </w:tcPr>
          <w:p>
            <w:pPr>
              <w:keepNext/>
              <w:spacing w:after="20"/>
            </w:pPr>
            <w:r/>
            <w:r>
              <w:rPr>
                <w:b w:val="0"/>
                <w:sz w:val="19"/>
              </w:rPr>
              <w:t>A prompt-injected page, task text or repository file could steer these runs into pushing code, changing repo settings or running commands without a prompt. Impact is bounded by the developer's own GitHub and machine permissions.</w:t>
            </w:r>
          </w:p>
        </w:tc>
      </w:tr>
      <w:tr>
        <w:trPr>
          <w:cantSplit w:val="true"/>
        </w:trPr>
        <w:tc>
          <w:tcPr>
            <w:tcW w:type="dxa" w:w="1872"/>
            <w:shd w:val="clear" w:color="auto" w:fill="E8EEF8"/>
          </w:tcPr>
          <w:p>
            <w:pPr>
              <w:spacing w:after="20"/>
            </w:pPr>
            <w:r/>
            <w:r>
              <w:rPr>
                <w:b/>
                <w:sz w:val="19"/>
              </w:rPr>
              <w:t>Recommended fix</w:t>
            </w:r>
          </w:p>
        </w:tc>
        <w:tc>
          <w:tcPr>
            <w:tcW w:type="dxa" w:w="7776"/>
          </w:tcPr>
          <w:p>
            <w:pPr>
              <w:spacing w:after="20"/>
            </w:pPr>
            <w:r/>
            <w:r>
              <w:rPr>
                <w:b w:val="0"/>
                <w:sz w:val="19"/>
              </w:rPr>
              <w:t>Narrow to the tools each step needs (for example mcp__github__get_file_contents, mcp__github__create_pull_request instead of the wildcard; Bash(git push origin:*) only where publishing is the point). Treat artifact and page content read by the commands as untrusted data in the prompt text.</w:t>
            </w:r>
          </w:p>
        </w:tc>
      </w:tr>
    </w:tbl>
    <w:p>
      <w:pPr>
        <w:spacing w:after="40"/>
      </w:pPr>
    </w:p>
    <w:p>
      <w:pPr>
        <w:pStyle w:val="Heading2"/>
      </w:pPr>
      <w:r>
        <w:t>SEC-007  Real email address will be public once set in FORMSUBMIT_ENDPOINT</w:t>
      </w:r>
    </w:p>
    <w:tbl>
      <w:tblPr>
        <w:tblStyle w:val="TableGrid"/>
        <w:tblW w:type="auto" w:w="0"/>
        <w:tblLayout w:type="fixed"/>
        <w:tblLook w:firstColumn="1" w:firstRow="1" w:lastColumn="0" w:lastRow="0" w:noHBand="0" w:noVBand="1" w:val="04A0"/>
        <w:tblLayout w:type="fixed"/>
      </w:tblPr>
      <w:tblGrid>
        <w:gridCol w:w="1872"/>
        <w:gridCol w:w="7776"/>
      </w:tblGrid>
      <w:tr>
        <w:trPr>
          <w:cantSplit w:val="true"/>
        </w:trPr>
        <w:tc>
          <w:tcPr>
            <w:tcW w:type="dxa" w:w="1872"/>
            <w:shd w:val="clear" w:color="auto" w:fill="E8EEF8"/>
          </w:tcPr>
          <w:p>
            <w:pPr>
              <w:keepNext/>
              <w:spacing w:after="20"/>
            </w:pPr>
            <w:r/>
            <w:r>
              <w:rPr>
                <w:b/>
                <w:sz w:val="19"/>
              </w:rPr>
              <w:t>Severity</w:t>
            </w:r>
          </w:p>
        </w:tc>
        <w:tc>
          <w:tcPr>
            <w:tcW w:type="dxa" w:w="7776"/>
            <w:shd w:val="clear" w:color="auto" w:fill="E2E2E2"/>
          </w:tcPr>
          <w:p>
            <w:pPr>
              <w:keepNext/>
              <w:spacing w:after="20"/>
            </w:pPr>
            <w:r/>
            <w:r>
              <w:rPr>
                <w:b/>
                <w:sz w:val="19"/>
              </w:rPr>
              <w:t>Informational</w:t>
            </w:r>
          </w:p>
        </w:tc>
      </w:tr>
      <w:tr>
        <w:trPr>
          <w:cantSplit w:val="true"/>
        </w:trPr>
        <w:tc>
          <w:tcPr>
            <w:tcW w:type="dxa" w:w="1872"/>
            <w:shd w:val="clear" w:color="auto" w:fill="E8EEF8"/>
          </w:tcPr>
          <w:p>
            <w:pPr>
              <w:keepNext/>
              <w:spacing w:after="20"/>
            </w:pPr>
            <w:r/>
            <w:r>
              <w:rPr>
                <w:b/>
                <w:sz w:val="19"/>
              </w:rPr>
              <w:t>Category</w:t>
            </w:r>
          </w:p>
        </w:tc>
        <w:tc>
          <w:tcPr>
            <w:tcW w:type="dxa" w:w="7776"/>
          </w:tcPr>
          <w:p>
            <w:pPr>
              <w:keepNext/>
              <w:spacing w:after="20"/>
            </w:pPr>
            <w:r/>
            <w:r>
              <w:rPr>
                <w:b w:val="0"/>
                <w:sz w:val="19"/>
              </w:rPr>
              <w:t>A02 Cryptographic Failures (sensitive data exposure) / CWE-200</w:t>
            </w:r>
          </w:p>
        </w:tc>
      </w:tr>
      <w:tr>
        <w:trPr>
          <w:cantSplit w:val="true"/>
        </w:trPr>
        <w:tc>
          <w:tcPr>
            <w:tcW w:type="dxa" w:w="1872"/>
            <w:shd w:val="clear" w:color="auto" w:fill="E8EEF8"/>
          </w:tcPr>
          <w:p>
            <w:pPr>
              <w:keepNext/>
              <w:spacing w:after="20"/>
            </w:pPr>
            <w:r/>
            <w:r>
              <w:rPr>
                <w:b/>
                <w:sz w:val="19"/>
              </w:rPr>
              <w:t>Confidence</w:t>
            </w:r>
          </w:p>
        </w:tc>
        <w:tc>
          <w:tcPr>
            <w:tcW w:type="dxa" w:w="7776"/>
          </w:tcPr>
          <w:p>
            <w:pPr>
              <w:keepNext/>
              <w:spacing w:after="20"/>
            </w:pPr>
            <w:r/>
            <w:r>
              <w:rPr>
                <w:b w:val="0"/>
                <w:sz w:val="19"/>
              </w:rPr>
              <w:t>Informational</w:t>
            </w:r>
          </w:p>
        </w:tc>
      </w:tr>
      <w:tr>
        <w:trPr>
          <w:cantSplit w:val="true"/>
        </w:trPr>
        <w:tc>
          <w:tcPr>
            <w:tcW w:type="dxa" w:w="1872"/>
            <w:shd w:val="clear" w:color="auto" w:fill="E8EEF8"/>
          </w:tcPr>
          <w:p>
            <w:pPr>
              <w:keepNext/>
              <w:spacing w:after="20"/>
            </w:pPr>
            <w:r/>
            <w:r>
              <w:rPr>
                <w:b/>
                <w:sz w:val="19"/>
              </w:rPr>
              <w:t>Location</w:t>
            </w:r>
          </w:p>
        </w:tc>
        <w:tc>
          <w:tcPr>
            <w:tcW w:type="dxa" w:w="7776"/>
          </w:tcPr>
          <w:p>
            <w:pPr>
              <w:keepNext/>
              <w:spacing w:after="20"/>
            </w:pPr>
            <w:r/>
            <w:r>
              <w:rPr>
                <w:b w:val="0"/>
                <w:sz w:val="19"/>
              </w:rPr>
              <w:t>index.html:765</w:t>
            </w:r>
          </w:p>
        </w:tc>
      </w:tr>
      <w:tr>
        <w:trPr>
          <w:cantSplit w:val="true"/>
        </w:trPr>
        <w:tc>
          <w:tcPr>
            <w:tcW w:type="dxa" w:w="1872"/>
            <w:shd w:val="clear" w:color="auto" w:fill="E8EEF8"/>
          </w:tcPr>
          <w:p>
            <w:pPr>
              <w:keepNext/>
              <w:spacing w:after="20"/>
            </w:pPr>
            <w:r/>
            <w:r>
              <w:rPr>
                <w:b/>
                <w:sz w:val="19"/>
              </w:rPr>
              <w:t>Effort</w:t>
            </w:r>
          </w:p>
        </w:tc>
        <w:tc>
          <w:tcPr>
            <w:tcW w:type="dxa" w:w="7776"/>
          </w:tcPr>
          <w:p>
            <w:pPr>
              <w:keepNext/>
              <w:spacing w:after="20"/>
            </w:pPr>
            <w:r/>
            <w:r>
              <w:rPr>
                <w:b w:val="0"/>
                <w:sz w:val="19"/>
              </w:rPr>
              <w:t>Low</w:t>
            </w:r>
          </w:p>
        </w:tc>
      </w:tr>
      <w:tr>
        <w:trPr>
          <w:cantSplit w:val="true"/>
        </w:trPr>
        <w:tc>
          <w:tcPr>
            <w:tcW w:type="dxa" w:w="1872"/>
            <w:shd w:val="clear" w:color="auto" w:fill="E8EEF8"/>
          </w:tcPr>
          <w:p>
            <w:pPr>
              <w:keepNext/>
              <w:spacing w:after="20"/>
            </w:pPr>
            <w:r/>
            <w:r>
              <w:rPr>
                <w:b/>
                <w:sz w:val="19"/>
              </w:rPr>
              <w:t>Evidence</w:t>
            </w:r>
          </w:p>
        </w:tc>
        <w:tc>
          <w:tcPr>
            <w:tcW w:type="dxa" w:w="7776"/>
          </w:tcPr>
          <w:p>
            <w:pPr>
              <w:keepNext/>
              <w:spacing w:after="20"/>
            </w:pPr>
            <w:r/>
            <w:r>
              <w:rPr>
                <w:rFonts w:ascii="Consolas" w:hAnsi="Consolas"/>
                <w:b w:val="0"/>
                <w:sz w:val="17"/>
              </w:rPr>
              <w:t>const FORMSUBMIT_ENDPOINT = "https://formsubmit.co/ajax/YOUR_EMAIL@example.com"; The value is the documented placeholder; no real address exists in the repository, history or deck.</w:t>
            </w:r>
          </w:p>
        </w:tc>
      </w:tr>
      <w:tr>
        <w:trPr>
          <w:cantSplit w:val="true"/>
        </w:trPr>
        <w:tc>
          <w:tcPr>
            <w:tcW w:type="dxa" w:w="1872"/>
            <w:shd w:val="clear" w:color="auto" w:fill="E8EEF8"/>
          </w:tcPr>
          <w:p>
            <w:pPr>
              <w:keepNext/>
              <w:spacing w:after="20"/>
            </w:pPr>
            <w:r/>
            <w:r>
              <w:rPr>
                <w:b/>
                <w:sz w:val="19"/>
              </w:rPr>
              <w:t>Impact</w:t>
            </w:r>
          </w:p>
        </w:tc>
        <w:tc>
          <w:tcPr>
            <w:tcW w:type="dxa" w:w="7776"/>
          </w:tcPr>
          <w:p>
            <w:pPr>
              <w:keepNext/>
              <w:spacing w:after="20"/>
            </w:pPr>
            <w:r/>
            <w:r>
              <w:rPr>
                <w:b w:val="0"/>
                <w:sz w:val="19"/>
              </w:rPr>
              <w:t>No exposure today. When a real address is substituted, it is readable by every visitor of the Pages site and the artifact and indexed by search engines on a public repo, enabling spam and phishing to that mailbox.</w:t>
            </w:r>
          </w:p>
        </w:tc>
      </w:tr>
      <w:tr>
        <w:trPr>
          <w:cantSplit w:val="true"/>
        </w:trPr>
        <w:tc>
          <w:tcPr>
            <w:tcW w:type="dxa" w:w="1872"/>
            <w:shd w:val="clear" w:color="auto" w:fill="E8EEF8"/>
          </w:tcPr>
          <w:p>
            <w:pPr>
              <w:spacing w:after="20"/>
            </w:pPr>
            <w:r/>
            <w:r>
              <w:rPr>
                <w:b/>
                <w:sz w:val="19"/>
              </w:rPr>
              <w:t>Recommended fix</w:t>
            </w:r>
          </w:p>
        </w:tc>
        <w:tc>
          <w:tcPr>
            <w:tcW w:type="dxa" w:w="7776"/>
          </w:tcPr>
          <w:p>
            <w:pPr>
              <w:spacing w:after="20"/>
            </w:pPr>
            <w:r/>
            <w:r>
              <w:rPr>
                <w:b w:val="0"/>
                <w:sz w:val="19"/>
              </w:rPr>
              <w:t>Use a dedicated, disposable alias mailbox, or FormSubmit's random-token form of the endpoint (it hides the address), and never commit the real address.</w:t>
            </w:r>
          </w:p>
        </w:tc>
      </w:tr>
    </w:tbl>
    <w:p>
      <w:pPr>
        <w:spacing w:after="40"/>
      </w:pPr>
    </w:p>
    <w:p>
      <w:pPr>
        <w:pStyle w:val="Heading2"/>
      </w:pPr>
      <w:r>
        <w:t>SEC-008  Unescaped interpolation of priority in class attributes</w:t>
      </w:r>
    </w:p>
    <w:tbl>
      <w:tblPr>
        <w:tblStyle w:val="TableGrid"/>
        <w:tblW w:type="auto" w:w="0"/>
        <w:tblLayout w:type="fixed"/>
        <w:tblLook w:firstColumn="1" w:firstRow="1" w:lastColumn="0" w:lastRow="0" w:noHBand="0" w:noVBand="1" w:val="04A0"/>
        <w:tblLayout w:type="fixed"/>
      </w:tblPr>
      <w:tblGrid>
        <w:gridCol w:w="1872"/>
        <w:gridCol w:w="7776"/>
      </w:tblGrid>
      <w:tr>
        <w:trPr>
          <w:cantSplit w:val="true"/>
        </w:trPr>
        <w:tc>
          <w:tcPr>
            <w:tcW w:type="dxa" w:w="1872"/>
            <w:shd w:val="clear" w:color="auto" w:fill="E8EEF8"/>
          </w:tcPr>
          <w:p>
            <w:pPr>
              <w:keepNext/>
              <w:spacing w:after="20"/>
            </w:pPr>
            <w:r/>
            <w:r>
              <w:rPr>
                <w:b/>
                <w:sz w:val="19"/>
              </w:rPr>
              <w:t>Severity</w:t>
            </w:r>
          </w:p>
        </w:tc>
        <w:tc>
          <w:tcPr>
            <w:tcW w:type="dxa" w:w="7776"/>
            <w:shd w:val="clear" w:color="auto" w:fill="E2E2E2"/>
          </w:tcPr>
          <w:p>
            <w:pPr>
              <w:keepNext/>
              <w:spacing w:after="20"/>
            </w:pPr>
            <w:r/>
            <w:r>
              <w:rPr>
                <w:b/>
                <w:sz w:val="19"/>
              </w:rPr>
              <w:t>Informational</w:t>
            </w:r>
          </w:p>
        </w:tc>
      </w:tr>
      <w:tr>
        <w:trPr>
          <w:cantSplit w:val="true"/>
        </w:trPr>
        <w:tc>
          <w:tcPr>
            <w:tcW w:type="dxa" w:w="1872"/>
            <w:shd w:val="clear" w:color="auto" w:fill="E8EEF8"/>
          </w:tcPr>
          <w:p>
            <w:pPr>
              <w:keepNext/>
              <w:spacing w:after="20"/>
            </w:pPr>
            <w:r/>
            <w:r>
              <w:rPr>
                <w:b/>
                <w:sz w:val="19"/>
              </w:rPr>
              <w:t>Category</w:t>
            </w:r>
          </w:p>
        </w:tc>
        <w:tc>
          <w:tcPr>
            <w:tcW w:type="dxa" w:w="7776"/>
          </w:tcPr>
          <w:p>
            <w:pPr>
              <w:keepNext/>
              <w:spacing w:after="20"/>
            </w:pPr>
            <w:r/>
            <w:r>
              <w:rPr>
                <w:b w:val="0"/>
                <w:sz w:val="19"/>
              </w:rPr>
              <w:t>A03 Injection / CWE-79 (hardening)</w:t>
            </w:r>
          </w:p>
        </w:tc>
      </w:tr>
      <w:tr>
        <w:trPr>
          <w:cantSplit w:val="true"/>
        </w:trPr>
        <w:tc>
          <w:tcPr>
            <w:tcW w:type="dxa" w:w="1872"/>
            <w:shd w:val="clear" w:color="auto" w:fill="E8EEF8"/>
          </w:tcPr>
          <w:p>
            <w:pPr>
              <w:keepNext/>
              <w:spacing w:after="20"/>
            </w:pPr>
            <w:r/>
            <w:r>
              <w:rPr>
                <w:b/>
                <w:sz w:val="19"/>
              </w:rPr>
              <w:t>Confidence</w:t>
            </w:r>
          </w:p>
        </w:tc>
        <w:tc>
          <w:tcPr>
            <w:tcW w:type="dxa" w:w="7776"/>
          </w:tcPr>
          <w:p>
            <w:pPr>
              <w:keepNext/>
              <w:spacing w:after="20"/>
            </w:pPr>
            <w:r/>
            <w:r>
              <w:rPr>
                <w:b w:val="0"/>
                <w:sz w:val="19"/>
              </w:rPr>
              <w:t>Informational</w:t>
            </w:r>
          </w:p>
        </w:tc>
      </w:tr>
      <w:tr>
        <w:trPr>
          <w:cantSplit w:val="true"/>
        </w:trPr>
        <w:tc>
          <w:tcPr>
            <w:tcW w:type="dxa" w:w="1872"/>
            <w:shd w:val="clear" w:color="auto" w:fill="E8EEF8"/>
          </w:tcPr>
          <w:p>
            <w:pPr>
              <w:keepNext/>
              <w:spacing w:after="20"/>
            </w:pPr>
            <w:r/>
            <w:r>
              <w:rPr>
                <w:b/>
                <w:sz w:val="19"/>
              </w:rPr>
              <w:t>Location</w:t>
            </w:r>
          </w:p>
        </w:tc>
        <w:tc>
          <w:tcPr>
            <w:tcW w:type="dxa" w:w="7776"/>
          </w:tcPr>
          <w:p>
            <w:pPr>
              <w:keepNext/>
              <w:spacing w:after="20"/>
            </w:pPr>
            <w:r/>
            <w:r>
              <w:rPr>
                <w:b w:val="0"/>
                <w:sz w:val="19"/>
              </w:rPr>
              <w:t>index.html:831, 974, 986</w:t>
            </w:r>
          </w:p>
        </w:tc>
      </w:tr>
      <w:tr>
        <w:trPr>
          <w:cantSplit w:val="true"/>
        </w:trPr>
        <w:tc>
          <w:tcPr>
            <w:tcW w:type="dxa" w:w="1872"/>
            <w:shd w:val="clear" w:color="auto" w:fill="E8EEF8"/>
          </w:tcPr>
          <w:p>
            <w:pPr>
              <w:keepNext/>
              <w:spacing w:after="20"/>
            </w:pPr>
            <w:r/>
            <w:r>
              <w:rPr>
                <w:b/>
                <w:sz w:val="19"/>
              </w:rPr>
              <w:t>Effort</w:t>
            </w:r>
          </w:p>
        </w:tc>
        <w:tc>
          <w:tcPr>
            <w:tcW w:type="dxa" w:w="7776"/>
          </w:tcPr>
          <w:p>
            <w:pPr>
              <w:keepNext/>
              <w:spacing w:after="20"/>
            </w:pPr>
            <w:r/>
            <w:r>
              <w:rPr>
                <w:b w:val="0"/>
                <w:sz w:val="19"/>
              </w:rPr>
              <w:t>Low</w:t>
            </w:r>
          </w:p>
        </w:tc>
      </w:tr>
      <w:tr>
        <w:trPr>
          <w:cantSplit w:val="true"/>
        </w:trPr>
        <w:tc>
          <w:tcPr>
            <w:tcW w:type="dxa" w:w="1872"/>
            <w:shd w:val="clear" w:color="auto" w:fill="E8EEF8"/>
          </w:tcPr>
          <w:p>
            <w:pPr>
              <w:keepNext/>
              <w:spacing w:after="20"/>
            </w:pPr>
            <w:r/>
            <w:r>
              <w:rPr>
                <w:b/>
                <w:sz w:val="19"/>
              </w:rPr>
              <w:t>Evidence</w:t>
            </w:r>
          </w:p>
        </w:tc>
        <w:tc>
          <w:tcPr>
            <w:tcW w:type="dxa" w:w="7776"/>
          </w:tcPr>
          <w:p>
            <w:pPr>
              <w:keepNext/>
              <w:spacing w:after="20"/>
            </w:pPr>
            <w:r/>
            <w:r>
              <w:rPr>
                <w:rFonts w:ascii="Consolas" w:hAnsi="Consolas"/>
                <w:b w:val="0"/>
                <w:sz w:val="17"/>
              </w:rPr>
              <w:t>return "priority-" + priority.toLowerCase(); and &lt;span class="pill pill-${task.priority.toLowerCase()}"&gt; bypass escapeHtml().</w:t>
            </w:r>
          </w:p>
        </w:tc>
      </w:tr>
      <w:tr>
        <w:trPr>
          <w:cantSplit w:val="true"/>
        </w:trPr>
        <w:tc>
          <w:tcPr>
            <w:tcW w:type="dxa" w:w="1872"/>
            <w:shd w:val="clear" w:color="auto" w:fill="E8EEF8"/>
          </w:tcPr>
          <w:p>
            <w:pPr>
              <w:keepNext/>
              <w:spacing w:after="20"/>
            </w:pPr>
            <w:r/>
            <w:r>
              <w:rPr>
                <w:b/>
                <w:sz w:val="19"/>
              </w:rPr>
              <w:t>Impact</w:t>
            </w:r>
          </w:p>
        </w:tc>
        <w:tc>
          <w:tcPr>
            <w:tcW w:type="dxa" w:w="7776"/>
          </w:tcPr>
          <w:p>
            <w:pPr>
              <w:keepNext/>
              <w:spacing w:after="20"/>
            </w:pPr>
            <w:r/>
            <w:r>
              <w:rPr>
                <w:b w:val="0"/>
                <w:sz w:val="19"/>
              </w:rPr>
              <w:t>Priority comes from a fixed &lt;select&gt; and state exists only in the page's own memory, so only the user themselves could alter it (through developer tools). It is not exploitable by another person today, but it breaks the CLAUDE.md rule that every interpolated value is escaped.</w:t>
            </w:r>
          </w:p>
        </w:tc>
      </w:tr>
      <w:tr>
        <w:trPr>
          <w:cantSplit w:val="true"/>
        </w:trPr>
        <w:tc>
          <w:tcPr>
            <w:tcW w:type="dxa" w:w="1872"/>
            <w:shd w:val="clear" w:color="auto" w:fill="E8EEF8"/>
          </w:tcPr>
          <w:p>
            <w:pPr>
              <w:spacing w:after="20"/>
            </w:pPr>
            <w:r/>
            <w:r>
              <w:rPr>
                <w:b/>
                <w:sz w:val="19"/>
              </w:rPr>
              <w:t>Recommended fix</w:t>
            </w:r>
          </w:p>
        </w:tc>
        <w:tc>
          <w:tcPr>
            <w:tcW w:type="dxa" w:w="7776"/>
          </w:tcPr>
          <w:p>
            <w:pPr>
              <w:spacing w:after="20"/>
            </w:pPr>
            <w:r/>
            <w:r>
              <w:rPr>
                <w:b w:val="0"/>
                <w:sz w:val="19"/>
              </w:rPr>
              <w:t>Wrap in escapeHtml() or validate against PRIORITIES before use, for example: PRIORITIES.includes(p) ? p.toLowerCase() : "medium".</w:t>
            </w:r>
          </w:p>
        </w:tc>
      </w:tr>
    </w:tbl>
    <w:p>
      <w:pPr>
        <w:spacing w:after="40"/>
      </w:pPr>
    </w:p>
    <w:p>
      <w:pPr>
        <w:pStyle w:val="Heading2"/>
      </w:pPr>
      <w:r>
        <w:t>SEC-009  No clickjacking (framing) protection</w:t>
      </w:r>
    </w:p>
    <w:tbl>
      <w:tblPr>
        <w:tblStyle w:val="TableGrid"/>
        <w:tblW w:type="auto" w:w="0"/>
        <w:tblLayout w:type="fixed"/>
        <w:tblLook w:firstColumn="1" w:firstRow="1" w:lastColumn="0" w:lastRow="0" w:noHBand="0" w:noVBand="1" w:val="04A0"/>
        <w:tblLayout w:type="fixed"/>
      </w:tblPr>
      <w:tblGrid>
        <w:gridCol w:w="1872"/>
        <w:gridCol w:w="7776"/>
      </w:tblGrid>
      <w:tr>
        <w:trPr>
          <w:cantSplit w:val="true"/>
        </w:trPr>
        <w:tc>
          <w:tcPr>
            <w:tcW w:type="dxa" w:w="1872"/>
            <w:shd w:val="clear" w:color="auto" w:fill="E8EEF8"/>
          </w:tcPr>
          <w:p>
            <w:pPr>
              <w:keepNext/>
              <w:spacing w:after="20"/>
            </w:pPr>
            <w:r/>
            <w:r>
              <w:rPr>
                <w:b/>
                <w:sz w:val="19"/>
              </w:rPr>
              <w:t>Severity</w:t>
            </w:r>
          </w:p>
        </w:tc>
        <w:tc>
          <w:tcPr>
            <w:tcW w:type="dxa" w:w="7776"/>
            <w:shd w:val="clear" w:color="auto" w:fill="E2E2E2"/>
          </w:tcPr>
          <w:p>
            <w:pPr>
              <w:keepNext/>
              <w:spacing w:after="20"/>
            </w:pPr>
            <w:r/>
            <w:r>
              <w:rPr>
                <w:b/>
                <w:sz w:val="19"/>
              </w:rPr>
              <w:t>Informational</w:t>
            </w:r>
          </w:p>
        </w:tc>
      </w:tr>
      <w:tr>
        <w:trPr>
          <w:cantSplit w:val="true"/>
        </w:trPr>
        <w:tc>
          <w:tcPr>
            <w:tcW w:type="dxa" w:w="1872"/>
            <w:shd w:val="clear" w:color="auto" w:fill="E8EEF8"/>
          </w:tcPr>
          <w:p>
            <w:pPr>
              <w:keepNext/>
              <w:spacing w:after="20"/>
            </w:pPr>
            <w:r/>
            <w:r>
              <w:rPr>
                <w:b/>
                <w:sz w:val="19"/>
              </w:rPr>
              <w:t>Category</w:t>
            </w:r>
          </w:p>
        </w:tc>
        <w:tc>
          <w:tcPr>
            <w:tcW w:type="dxa" w:w="7776"/>
          </w:tcPr>
          <w:p>
            <w:pPr>
              <w:keepNext/>
              <w:spacing w:after="20"/>
            </w:pPr>
            <w:r/>
            <w:r>
              <w:rPr>
                <w:b w:val="0"/>
                <w:sz w:val="19"/>
              </w:rPr>
              <w:t>A05 Security Misconfiguration / CWE-1021</w:t>
            </w:r>
          </w:p>
        </w:tc>
      </w:tr>
      <w:tr>
        <w:trPr>
          <w:cantSplit w:val="true"/>
        </w:trPr>
        <w:tc>
          <w:tcPr>
            <w:tcW w:type="dxa" w:w="1872"/>
            <w:shd w:val="clear" w:color="auto" w:fill="E8EEF8"/>
          </w:tcPr>
          <w:p>
            <w:pPr>
              <w:keepNext/>
              <w:spacing w:after="20"/>
            </w:pPr>
            <w:r/>
            <w:r>
              <w:rPr>
                <w:b/>
                <w:sz w:val="19"/>
              </w:rPr>
              <w:t>Confidence</w:t>
            </w:r>
          </w:p>
        </w:tc>
        <w:tc>
          <w:tcPr>
            <w:tcW w:type="dxa" w:w="7776"/>
          </w:tcPr>
          <w:p>
            <w:pPr>
              <w:keepNext/>
              <w:spacing w:after="20"/>
            </w:pPr>
            <w:r/>
            <w:r>
              <w:rPr>
                <w:b w:val="0"/>
                <w:sz w:val="19"/>
              </w:rPr>
              <w:t>Informational</w:t>
            </w:r>
          </w:p>
        </w:tc>
      </w:tr>
      <w:tr>
        <w:trPr>
          <w:cantSplit w:val="true"/>
        </w:trPr>
        <w:tc>
          <w:tcPr>
            <w:tcW w:type="dxa" w:w="1872"/>
            <w:shd w:val="clear" w:color="auto" w:fill="E8EEF8"/>
          </w:tcPr>
          <w:p>
            <w:pPr>
              <w:keepNext/>
              <w:spacing w:after="20"/>
            </w:pPr>
            <w:r/>
            <w:r>
              <w:rPr>
                <w:b/>
                <w:sz w:val="19"/>
              </w:rPr>
              <w:t>Location</w:t>
            </w:r>
          </w:p>
        </w:tc>
        <w:tc>
          <w:tcPr>
            <w:tcW w:type="dxa" w:w="7776"/>
          </w:tcPr>
          <w:p>
            <w:pPr>
              <w:keepNext/>
              <w:spacing w:after="20"/>
            </w:pPr>
            <w:r/>
            <w:r>
              <w:rPr>
                <w:b w:val="0"/>
                <w:sz w:val="19"/>
              </w:rPr>
              <w:t>index.html (head)</w:t>
            </w:r>
          </w:p>
        </w:tc>
      </w:tr>
      <w:tr>
        <w:trPr>
          <w:cantSplit w:val="true"/>
        </w:trPr>
        <w:tc>
          <w:tcPr>
            <w:tcW w:type="dxa" w:w="1872"/>
            <w:shd w:val="clear" w:color="auto" w:fill="E8EEF8"/>
          </w:tcPr>
          <w:p>
            <w:pPr>
              <w:keepNext/>
              <w:spacing w:after="20"/>
            </w:pPr>
            <w:r/>
            <w:r>
              <w:rPr>
                <w:b/>
                <w:sz w:val="19"/>
              </w:rPr>
              <w:t>Effort</w:t>
            </w:r>
          </w:p>
        </w:tc>
        <w:tc>
          <w:tcPr>
            <w:tcW w:type="dxa" w:w="7776"/>
          </w:tcPr>
          <w:p>
            <w:pPr>
              <w:keepNext/>
              <w:spacing w:after="20"/>
            </w:pPr>
            <w:r/>
            <w:r>
              <w:rPr>
                <w:b w:val="0"/>
                <w:sz w:val="19"/>
              </w:rPr>
              <w:t>Low</w:t>
            </w:r>
          </w:p>
        </w:tc>
      </w:tr>
      <w:tr>
        <w:trPr>
          <w:cantSplit w:val="true"/>
        </w:trPr>
        <w:tc>
          <w:tcPr>
            <w:tcW w:type="dxa" w:w="1872"/>
            <w:shd w:val="clear" w:color="auto" w:fill="E8EEF8"/>
          </w:tcPr>
          <w:p>
            <w:pPr>
              <w:keepNext/>
              <w:spacing w:after="20"/>
            </w:pPr>
            <w:r/>
            <w:r>
              <w:rPr>
                <w:b/>
                <w:sz w:val="19"/>
              </w:rPr>
              <w:t>Evidence</w:t>
            </w:r>
          </w:p>
        </w:tc>
        <w:tc>
          <w:tcPr>
            <w:tcW w:type="dxa" w:w="7776"/>
          </w:tcPr>
          <w:p>
            <w:pPr>
              <w:keepNext/>
              <w:spacing w:after="20"/>
            </w:pPr>
            <w:r/>
            <w:r>
              <w:rPr>
                <w:rFonts w:ascii="Consolas" w:hAnsi="Consolas"/>
                <w:b w:val="0"/>
                <w:sz w:val="17"/>
              </w:rPr>
              <w:t>No frame-ancestors control. GitHub Pages cannot send X-Frame-Options, and frame-ancestors is ignored in a meta CSP.</w:t>
            </w:r>
          </w:p>
        </w:tc>
      </w:tr>
      <w:tr>
        <w:trPr>
          <w:cantSplit w:val="true"/>
        </w:trPr>
        <w:tc>
          <w:tcPr>
            <w:tcW w:type="dxa" w:w="1872"/>
            <w:shd w:val="clear" w:color="auto" w:fill="E8EEF8"/>
          </w:tcPr>
          <w:p>
            <w:pPr>
              <w:keepNext/>
              <w:spacing w:after="20"/>
            </w:pPr>
            <w:r/>
            <w:r>
              <w:rPr>
                <w:b/>
                <w:sz w:val="19"/>
              </w:rPr>
              <w:t>Impact</w:t>
            </w:r>
          </w:p>
        </w:tc>
        <w:tc>
          <w:tcPr>
            <w:tcW w:type="dxa" w:w="7776"/>
          </w:tcPr>
          <w:p>
            <w:pPr>
              <w:keepNext/>
              <w:spacing w:after="20"/>
            </w:pPr>
            <w:r/>
            <w:r>
              <w:rPr>
                <w:b w:val="0"/>
                <w:sz w:val="19"/>
              </w:rPr>
              <w:t>Another site could embed the board in a frame and overlay it. The page has no login or sensitive action, so the risk is negligible.</w:t>
            </w:r>
          </w:p>
        </w:tc>
      </w:tr>
      <w:tr>
        <w:trPr>
          <w:cantSplit w:val="true"/>
        </w:trPr>
        <w:tc>
          <w:tcPr>
            <w:tcW w:type="dxa" w:w="1872"/>
            <w:shd w:val="clear" w:color="auto" w:fill="E8EEF8"/>
          </w:tcPr>
          <w:p>
            <w:pPr>
              <w:spacing w:after="20"/>
            </w:pPr>
            <w:r/>
            <w:r>
              <w:rPr>
                <w:b/>
                <w:sz w:val="19"/>
              </w:rPr>
              <w:t>Recommended fix</w:t>
            </w:r>
          </w:p>
        </w:tc>
        <w:tc>
          <w:tcPr>
            <w:tcW w:type="dxa" w:w="7776"/>
          </w:tcPr>
          <w:p>
            <w:pPr>
              <w:spacing w:after="20"/>
            </w:pPr>
            <w:r/>
            <w:r>
              <w:rPr>
                <w:b w:val="0"/>
                <w:sz w:val="19"/>
              </w:rPr>
              <w:t>Optional: a small guard such as if (window.top !== window.self) { document.body.hidden = true; } near the start of the script. No action needed for a demo.</w:t>
            </w:r>
          </w:p>
        </w:tc>
      </w:tr>
    </w:tbl>
    <w:p>
      <w:pPr>
        <w:spacing w:after="40"/>
      </w:pPr>
    </w:p>
    <w:p>
      <w:pPr>
        <w:pStyle w:val="Heading2"/>
      </w:pPr>
      <w:r>
        <w:t>SEC-010  Task content is emailed to a third party without notice</w:t>
      </w:r>
    </w:p>
    <w:tbl>
      <w:tblPr>
        <w:tblStyle w:val="TableGrid"/>
        <w:tblW w:type="auto" w:w="0"/>
        <w:tblLayout w:type="fixed"/>
        <w:tblLook w:firstColumn="1" w:firstRow="1" w:lastColumn="0" w:lastRow="0" w:noHBand="0" w:noVBand="1" w:val="04A0"/>
        <w:tblLayout w:type="fixed"/>
      </w:tblPr>
      <w:tblGrid>
        <w:gridCol w:w="1872"/>
        <w:gridCol w:w="7776"/>
      </w:tblGrid>
      <w:tr>
        <w:trPr>
          <w:cantSplit w:val="true"/>
        </w:trPr>
        <w:tc>
          <w:tcPr>
            <w:tcW w:type="dxa" w:w="1872"/>
            <w:shd w:val="clear" w:color="auto" w:fill="E8EEF8"/>
          </w:tcPr>
          <w:p>
            <w:pPr>
              <w:keepNext/>
              <w:spacing w:after="20"/>
            </w:pPr>
            <w:r/>
            <w:r>
              <w:rPr>
                <w:b/>
                <w:sz w:val="19"/>
              </w:rPr>
              <w:t>Severity</w:t>
            </w:r>
          </w:p>
        </w:tc>
        <w:tc>
          <w:tcPr>
            <w:tcW w:type="dxa" w:w="7776"/>
            <w:shd w:val="clear" w:color="auto" w:fill="E2E2E2"/>
          </w:tcPr>
          <w:p>
            <w:pPr>
              <w:keepNext/>
              <w:spacing w:after="20"/>
            </w:pPr>
            <w:r/>
            <w:r>
              <w:rPr>
                <w:b/>
                <w:sz w:val="19"/>
              </w:rPr>
              <w:t>Informational</w:t>
            </w:r>
          </w:p>
        </w:tc>
      </w:tr>
      <w:tr>
        <w:trPr>
          <w:cantSplit w:val="true"/>
        </w:trPr>
        <w:tc>
          <w:tcPr>
            <w:tcW w:type="dxa" w:w="1872"/>
            <w:shd w:val="clear" w:color="auto" w:fill="E8EEF8"/>
          </w:tcPr>
          <w:p>
            <w:pPr>
              <w:keepNext/>
              <w:spacing w:after="20"/>
            </w:pPr>
            <w:r/>
            <w:r>
              <w:rPr>
                <w:b/>
                <w:sz w:val="19"/>
              </w:rPr>
              <w:t>Category</w:t>
            </w:r>
          </w:p>
        </w:tc>
        <w:tc>
          <w:tcPr>
            <w:tcW w:type="dxa" w:w="7776"/>
          </w:tcPr>
          <w:p>
            <w:pPr>
              <w:keepNext/>
              <w:spacing w:after="20"/>
            </w:pPr>
            <w:r/>
            <w:r>
              <w:rPr>
                <w:b w:val="0"/>
                <w:sz w:val="19"/>
              </w:rPr>
              <w:t>A04 Insecure Design (privacy) / CWE-359</w:t>
            </w:r>
          </w:p>
        </w:tc>
      </w:tr>
      <w:tr>
        <w:trPr>
          <w:cantSplit w:val="true"/>
        </w:trPr>
        <w:tc>
          <w:tcPr>
            <w:tcW w:type="dxa" w:w="1872"/>
            <w:shd w:val="clear" w:color="auto" w:fill="E8EEF8"/>
          </w:tcPr>
          <w:p>
            <w:pPr>
              <w:keepNext/>
              <w:spacing w:after="20"/>
            </w:pPr>
            <w:r/>
            <w:r>
              <w:rPr>
                <w:b/>
                <w:sz w:val="19"/>
              </w:rPr>
              <w:t>Confidence</w:t>
            </w:r>
          </w:p>
        </w:tc>
        <w:tc>
          <w:tcPr>
            <w:tcW w:type="dxa" w:w="7776"/>
          </w:tcPr>
          <w:p>
            <w:pPr>
              <w:keepNext/>
              <w:spacing w:after="20"/>
            </w:pPr>
            <w:r/>
            <w:r>
              <w:rPr>
                <w:b w:val="0"/>
                <w:sz w:val="19"/>
              </w:rPr>
              <w:t>Informational</w:t>
            </w:r>
          </w:p>
        </w:tc>
      </w:tr>
      <w:tr>
        <w:trPr>
          <w:cantSplit w:val="true"/>
        </w:trPr>
        <w:tc>
          <w:tcPr>
            <w:tcW w:type="dxa" w:w="1872"/>
            <w:shd w:val="clear" w:color="auto" w:fill="E8EEF8"/>
          </w:tcPr>
          <w:p>
            <w:pPr>
              <w:keepNext/>
              <w:spacing w:after="20"/>
            </w:pPr>
            <w:r/>
            <w:r>
              <w:rPr>
                <w:b/>
                <w:sz w:val="19"/>
              </w:rPr>
              <w:t>Location</w:t>
            </w:r>
          </w:p>
        </w:tc>
        <w:tc>
          <w:tcPr>
            <w:tcW w:type="dxa" w:w="7776"/>
          </w:tcPr>
          <w:p>
            <w:pPr>
              <w:keepNext/>
              <w:spacing w:after="20"/>
            </w:pPr>
            <w:r/>
            <w:r>
              <w:rPr>
                <w:b w:val="0"/>
                <w:sz w:val="19"/>
              </w:rPr>
              <w:t>index.html:1356-1375</w:t>
            </w:r>
          </w:p>
        </w:tc>
      </w:tr>
      <w:tr>
        <w:trPr>
          <w:cantSplit w:val="true"/>
        </w:trPr>
        <w:tc>
          <w:tcPr>
            <w:tcW w:type="dxa" w:w="1872"/>
            <w:shd w:val="clear" w:color="auto" w:fill="E8EEF8"/>
          </w:tcPr>
          <w:p>
            <w:pPr>
              <w:keepNext/>
              <w:spacing w:after="20"/>
            </w:pPr>
            <w:r/>
            <w:r>
              <w:rPr>
                <w:b/>
                <w:sz w:val="19"/>
              </w:rPr>
              <w:t>Effort</w:t>
            </w:r>
          </w:p>
        </w:tc>
        <w:tc>
          <w:tcPr>
            <w:tcW w:type="dxa" w:w="7776"/>
          </w:tcPr>
          <w:p>
            <w:pPr>
              <w:keepNext/>
              <w:spacing w:after="20"/>
            </w:pPr>
            <w:r/>
            <w:r>
              <w:rPr>
                <w:b w:val="0"/>
                <w:sz w:val="19"/>
              </w:rPr>
              <w:t>Low</w:t>
            </w:r>
          </w:p>
        </w:tc>
      </w:tr>
      <w:tr>
        <w:trPr>
          <w:cantSplit w:val="true"/>
        </w:trPr>
        <w:tc>
          <w:tcPr>
            <w:tcW w:type="dxa" w:w="1872"/>
            <w:shd w:val="clear" w:color="auto" w:fill="E8EEF8"/>
          </w:tcPr>
          <w:p>
            <w:pPr>
              <w:keepNext/>
              <w:spacing w:after="20"/>
            </w:pPr>
            <w:r/>
            <w:r>
              <w:rPr>
                <w:b/>
                <w:sz w:val="19"/>
              </w:rPr>
              <w:t>Evidence</w:t>
            </w:r>
          </w:p>
        </w:tc>
        <w:tc>
          <w:tcPr>
            <w:tcW w:type="dxa" w:w="7776"/>
          </w:tcPr>
          <w:p>
            <w:pPr>
              <w:keepNext/>
              <w:spacing w:after="20"/>
            </w:pPr>
            <w:r/>
            <w:r>
              <w:rPr>
                <w:rFonts w:ascii="Consolas" w:hAnsi="Consolas"/>
                <w:b w:val="0"/>
                <w:sz w:val="17"/>
              </w:rPr>
              <w:t>The payload includes title, description, assignee, project, category, priority, due date and a timestamp, sent to formsubmit.co.</w:t>
            </w:r>
          </w:p>
        </w:tc>
      </w:tr>
      <w:tr>
        <w:trPr>
          <w:cantSplit w:val="true"/>
        </w:trPr>
        <w:tc>
          <w:tcPr>
            <w:tcW w:type="dxa" w:w="1872"/>
            <w:shd w:val="clear" w:color="auto" w:fill="E8EEF8"/>
          </w:tcPr>
          <w:p>
            <w:pPr>
              <w:keepNext/>
              <w:spacing w:after="20"/>
            </w:pPr>
            <w:r/>
            <w:r>
              <w:rPr>
                <w:b/>
                <w:sz w:val="19"/>
              </w:rPr>
              <w:t>Impact</w:t>
            </w:r>
          </w:p>
        </w:tc>
        <w:tc>
          <w:tcPr>
            <w:tcW w:type="dxa" w:w="7776"/>
          </w:tcPr>
          <w:p>
            <w:pPr>
              <w:keepNext/>
              <w:spacing w:after="20"/>
            </w:pPr>
            <w:r/>
            <w:r>
              <w:rPr>
                <w:b w:val="0"/>
                <w:sz w:val="19"/>
              </w:rPr>
              <w:t>Users could type confidential or personal information into a demo form, not realising it leaves the browser. The header says nothing is saved to a server, which is inaccurate for this one call.</w:t>
            </w:r>
          </w:p>
        </w:tc>
      </w:tr>
      <w:tr>
        <w:trPr>
          <w:cantSplit w:val="true"/>
        </w:trPr>
        <w:tc>
          <w:tcPr>
            <w:tcW w:type="dxa" w:w="1872"/>
            <w:shd w:val="clear" w:color="auto" w:fill="E8EEF8"/>
          </w:tcPr>
          <w:p>
            <w:pPr>
              <w:spacing w:after="20"/>
            </w:pPr>
            <w:r/>
            <w:r>
              <w:rPr>
                <w:b/>
                <w:sz w:val="19"/>
              </w:rPr>
              <w:t>Recommended fix</w:t>
            </w:r>
          </w:p>
        </w:tc>
        <w:tc>
          <w:tcPr>
            <w:tcW w:type="dxa" w:w="7776"/>
          </w:tcPr>
          <w:p>
            <w:pPr>
              <w:spacing w:after="20"/>
            </w:pPr>
            <w:r/>
            <w:r>
              <w:rPr>
                <w:b w:val="0"/>
                <w:sz w:val="19"/>
              </w:rPr>
              <w:t>Extend the existing demo note: "Adding a task emails its details to the board owner via FormSubmit. Do not enter confidential data."</w:t>
            </w:r>
          </w:p>
        </w:tc>
      </w:tr>
    </w:tbl>
    <w:p>
      <w:pPr>
        <w:spacing w:after="40"/>
      </w:pPr>
    </w:p>
    <w:p>
      <w:pPr>
        <w:pStyle w:val="Heading2"/>
      </w:pPr>
      <w:r>
        <w:t>SEC-011  Residual metadata in the deck and in git authorship</w:t>
      </w:r>
    </w:p>
    <w:tbl>
      <w:tblPr>
        <w:tblStyle w:val="TableGrid"/>
        <w:tblW w:type="auto" w:w="0"/>
        <w:tblLayout w:type="fixed"/>
        <w:tblLook w:firstColumn="1" w:firstRow="1" w:lastColumn="0" w:lastRow="0" w:noHBand="0" w:noVBand="1" w:val="04A0"/>
        <w:tblLayout w:type="fixed"/>
      </w:tblPr>
      <w:tblGrid>
        <w:gridCol w:w="1872"/>
        <w:gridCol w:w="7776"/>
      </w:tblGrid>
      <w:tr>
        <w:trPr>
          <w:cantSplit w:val="true"/>
        </w:trPr>
        <w:tc>
          <w:tcPr>
            <w:tcW w:type="dxa" w:w="1872"/>
            <w:shd w:val="clear" w:color="auto" w:fill="E8EEF8"/>
          </w:tcPr>
          <w:p>
            <w:pPr>
              <w:keepNext/>
              <w:spacing w:after="20"/>
            </w:pPr>
            <w:r/>
            <w:r>
              <w:rPr>
                <w:b/>
                <w:sz w:val="19"/>
              </w:rPr>
              <w:t>Severity</w:t>
            </w:r>
          </w:p>
        </w:tc>
        <w:tc>
          <w:tcPr>
            <w:tcW w:type="dxa" w:w="7776"/>
            <w:shd w:val="clear" w:color="auto" w:fill="E2E2E2"/>
          </w:tcPr>
          <w:p>
            <w:pPr>
              <w:keepNext/>
              <w:spacing w:after="20"/>
            </w:pPr>
            <w:r/>
            <w:r>
              <w:rPr>
                <w:b/>
                <w:sz w:val="19"/>
              </w:rPr>
              <w:t>Informational</w:t>
            </w:r>
          </w:p>
        </w:tc>
      </w:tr>
      <w:tr>
        <w:trPr>
          <w:cantSplit w:val="true"/>
        </w:trPr>
        <w:tc>
          <w:tcPr>
            <w:tcW w:type="dxa" w:w="1872"/>
            <w:shd w:val="clear" w:color="auto" w:fill="E8EEF8"/>
          </w:tcPr>
          <w:p>
            <w:pPr>
              <w:keepNext/>
              <w:spacing w:after="20"/>
            </w:pPr>
            <w:r/>
            <w:r>
              <w:rPr>
                <w:b/>
                <w:sz w:val="19"/>
              </w:rPr>
              <w:t>Category</w:t>
            </w:r>
          </w:p>
        </w:tc>
        <w:tc>
          <w:tcPr>
            <w:tcW w:type="dxa" w:w="7776"/>
          </w:tcPr>
          <w:p>
            <w:pPr>
              <w:keepNext/>
              <w:spacing w:after="20"/>
            </w:pPr>
            <w:r/>
            <w:r>
              <w:rPr>
                <w:b w:val="0"/>
                <w:sz w:val="19"/>
              </w:rPr>
              <w:t>A09 / CWE-200 (metadata)</w:t>
            </w:r>
          </w:p>
        </w:tc>
      </w:tr>
      <w:tr>
        <w:trPr>
          <w:cantSplit w:val="true"/>
        </w:trPr>
        <w:tc>
          <w:tcPr>
            <w:tcW w:type="dxa" w:w="1872"/>
            <w:shd w:val="clear" w:color="auto" w:fill="E8EEF8"/>
          </w:tcPr>
          <w:p>
            <w:pPr>
              <w:keepNext/>
              <w:spacing w:after="20"/>
            </w:pPr>
            <w:r/>
            <w:r>
              <w:rPr>
                <w:b/>
                <w:sz w:val="19"/>
              </w:rPr>
              <w:t>Confidence</w:t>
            </w:r>
          </w:p>
        </w:tc>
        <w:tc>
          <w:tcPr>
            <w:tcW w:type="dxa" w:w="7776"/>
          </w:tcPr>
          <w:p>
            <w:pPr>
              <w:keepNext/>
              <w:spacing w:after="20"/>
            </w:pPr>
            <w:r/>
            <w:r>
              <w:rPr>
                <w:b w:val="0"/>
                <w:sz w:val="19"/>
              </w:rPr>
              <w:t>Confirmed</w:t>
            </w:r>
          </w:p>
        </w:tc>
      </w:tr>
      <w:tr>
        <w:trPr>
          <w:cantSplit w:val="true"/>
        </w:trPr>
        <w:tc>
          <w:tcPr>
            <w:tcW w:type="dxa" w:w="1872"/>
            <w:shd w:val="clear" w:color="auto" w:fill="E8EEF8"/>
          </w:tcPr>
          <w:p>
            <w:pPr>
              <w:keepNext/>
              <w:spacing w:after="20"/>
            </w:pPr>
            <w:r/>
            <w:r>
              <w:rPr>
                <w:b/>
                <w:sz w:val="19"/>
              </w:rPr>
              <w:t>Location</w:t>
            </w:r>
          </w:p>
        </w:tc>
        <w:tc>
          <w:tcPr>
            <w:tcW w:type="dxa" w:w="7776"/>
          </w:tcPr>
          <w:p>
            <w:pPr>
              <w:keepNext/>
              <w:spacing w:after="20"/>
            </w:pPr>
            <w:r/>
            <w:r>
              <w:rPr>
                <w:b w:val="0"/>
                <w:sz w:val="19"/>
              </w:rPr>
              <w:t>docs/reports/pmo-management-report-2026-10-06.pptx (docProps/core.xml, ppt/printerSettings); git log</w:t>
            </w:r>
          </w:p>
        </w:tc>
      </w:tr>
      <w:tr>
        <w:trPr>
          <w:cantSplit w:val="true"/>
        </w:trPr>
        <w:tc>
          <w:tcPr>
            <w:tcW w:type="dxa" w:w="1872"/>
            <w:shd w:val="clear" w:color="auto" w:fill="E8EEF8"/>
          </w:tcPr>
          <w:p>
            <w:pPr>
              <w:keepNext/>
              <w:spacing w:after="20"/>
            </w:pPr>
            <w:r/>
            <w:r>
              <w:rPr>
                <w:b/>
                <w:sz w:val="19"/>
              </w:rPr>
              <w:t>Effort</w:t>
            </w:r>
          </w:p>
        </w:tc>
        <w:tc>
          <w:tcPr>
            <w:tcW w:type="dxa" w:w="7776"/>
          </w:tcPr>
          <w:p>
            <w:pPr>
              <w:keepNext/>
              <w:spacing w:after="20"/>
            </w:pPr>
            <w:r/>
            <w:r>
              <w:rPr>
                <w:b w:val="0"/>
                <w:sz w:val="19"/>
              </w:rPr>
              <w:t>Low</w:t>
            </w:r>
          </w:p>
        </w:tc>
      </w:tr>
      <w:tr>
        <w:trPr>
          <w:cantSplit w:val="true"/>
        </w:trPr>
        <w:tc>
          <w:tcPr>
            <w:tcW w:type="dxa" w:w="1872"/>
            <w:shd w:val="clear" w:color="auto" w:fill="E8EEF8"/>
          </w:tcPr>
          <w:p>
            <w:pPr>
              <w:keepNext/>
              <w:spacing w:after="20"/>
            </w:pPr>
            <w:r/>
            <w:r>
              <w:rPr>
                <w:b/>
                <w:sz w:val="19"/>
              </w:rPr>
              <w:t>Evidence</w:t>
            </w:r>
          </w:p>
        </w:tc>
        <w:tc>
          <w:tcPr>
            <w:tcW w:type="dxa" w:w="7776"/>
          </w:tcPr>
          <w:p>
            <w:pPr>
              <w:keepNext/>
              <w:spacing w:after="20"/>
            </w:pPr>
            <w:r/>
            <w:r>
              <w:rPr>
                <w:rFonts w:ascii="Consolas" w:hAnsi="Consolas"/>
                <w:b w:val="0"/>
                <w:sz w:val="17"/>
              </w:rPr>
              <w:t>Deck core.xml: lastModifiedBy = python-pptx template author name, created 2013, creator empty. printerSettings1.bin is an Apple print template. Git author: sanjay0807 &lt;57011442+sanjay0807@users.noreply.github.com&gt; (GitHub's noreply alias).</w:t>
            </w:r>
          </w:p>
        </w:tc>
      </w:tr>
      <w:tr>
        <w:trPr>
          <w:cantSplit w:val="true"/>
        </w:trPr>
        <w:tc>
          <w:tcPr>
            <w:tcW w:type="dxa" w:w="1872"/>
            <w:shd w:val="clear" w:color="auto" w:fill="E8EEF8"/>
          </w:tcPr>
          <w:p>
            <w:pPr>
              <w:keepNext/>
              <w:spacing w:after="20"/>
            </w:pPr>
            <w:r/>
            <w:r>
              <w:rPr>
                <w:b/>
                <w:sz w:val="19"/>
              </w:rPr>
              <w:t>Impact</w:t>
            </w:r>
          </w:p>
        </w:tc>
        <w:tc>
          <w:tcPr>
            <w:tcW w:type="dxa" w:w="7776"/>
          </w:tcPr>
          <w:p>
            <w:pPr>
              <w:keepNext/>
              <w:spacing w:after="20"/>
            </w:pPr>
            <w:r/>
            <w:r>
              <w:rPr>
                <w:b w:val="0"/>
                <w:sz w:val="19"/>
              </w:rPr>
              <w:t>None of these is a real email address or secret. The template author name is a public library author and the noreply alias is GitHub's privacy-preserving address, but both are visible metadata.</w:t>
            </w:r>
          </w:p>
        </w:tc>
      </w:tr>
      <w:tr>
        <w:trPr>
          <w:cantSplit w:val="true"/>
        </w:trPr>
        <w:tc>
          <w:tcPr>
            <w:tcW w:type="dxa" w:w="1872"/>
            <w:shd w:val="clear" w:color="auto" w:fill="E8EEF8"/>
          </w:tcPr>
          <w:p>
            <w:pPr>
              <w:spacing w:after="20"/>
            </w:pPr>
            <w:r/>
            <w:r>
              <w:rPr>
                <w:b/>
                <w:sz w:val="19"/>
              </w:rPr>
              <w:t>Recommended fix</w:t>
            </w:r>
          </w:p>
        </w:tc>
        <w:tc>
          <w:tcPr>
            <w:tcW w:type="dxa" w:w="7776"/>
          </w:tcPr>
          <w:p>
            <w:pPr>
              <w:spacing w:after="20"/>
            </w:pPr>
            <w:r/>
            <w:r>
              <w:rPr>
                <w:b w:val="0"/>
                <w:sz w:val="19"/>
              </w:rPr>
              <w:t>Optional: set prs.core_properties.author / last_modified_by / title in the deck generator and drop the printerSettings part. Keep using the GitHub noreply address.</w:t>
            </w:r>
          </w:p>
        </w:tc>
      </w:tr>
    </w:tbl>
    <w:p>
      <w:pPr>
        <w:spacing w:after="40"/>
      </w:pPr>
    </w:p>
    <w:p>
      <w:pPr>
        <w:pStyle w:val="Heading1"/>
      </w:pPr>
      <w:r>
        <w:t>5. Controls verified</w:t>
      </w:r>
    </w:p>
    <w:p>
      <w:pPr>
        <w:pStyle w:val="ListBullet"/>
        <w:spacing w:after="40"/>
      </w:pPr>
      <w:r>
        <w:rPr>
          <w:b/>
        </w:rPr>
        <w:t>XSS output encoding:</w:t>
      </w:r>
      <w:r>
        <w:t xml:space="preserve"> every user-supplied string (title, assignee, project, category, status, id, description where shown) passes through escapeHtml() before reaching innerHTML at lines 948, 951, 974-997, 1008-1016, 1085-1101, 1197-1216 and 1233. The function escapes &amp; &lt; &gt; " and '.</w:t>
      </w:r>
    </w:p>
    <w:p>
      <w:pPr>
        <w:pStyle w:val="ListBullet"/>
        <w:spacing w:after="40"/>
      </w:pPr>
      <w:r>
        <w:rPr>
          <w:b/>
        </w:rPr>
        <w:t>Dynamic XSS test (evidence):</w:t>
      </w:r>
      <w:r>
        <w:t xml:space="preserve"> 4 payload sets were submitted through the real form (title, assignee, description): "&gt;&lt;img src=x onerror=window.__xss=1&gt;, &lt;script&gt;window.__xss=1&lt;/script&gt;, attribute break-outs with onfocus/onmouseover, &lt;/article&gt; and &lt;/h3&gt; tag break-outs, &lt;svg onload&gt;, &lt;iframe srcdoc&gt;, &lt;details ontoggle&gt;, plus a filter-box payload. Result: window.__xss stayed undefined, no dialog opened, 0 injected img, script or iframe elements, 0 elements with on* attributes, no page errors. The payload text appeared on the cards as inert text (for example "Assignee: &lt;script&gt;window.__xss=1&lt;/script&gt;"). A second run with the proposed CSP also passed.</w:t>
      </w:r>
    </w:p>
    <w:p>
      <w:pPr>
        <w:pStyle w:val="ListBullet"/>
        <w:spacing w:after="40"/>
      </w:pPr>
      <w:r>
        <w:rPr>
          <w:b/>
        </w:rPr>
        <w:t>No dangerous sinks:</w:t>
      </w:r>
      <w:r>
        <w:t xml:space="preserve"> no eval, new Function, string timers (the only setTimeout uses a function), document.write, javascript: URLs, inline on* handlers, target=_blank, iframes, external scripts, stylesheets, fonts or images. Event wiring uses addEventListener. Ids are only compared, never used as selectors.</w:t>
      </w:r>
    </w:p>
    <w:p>
      <w:pPr>
        <w:pStyle w:val="ListBullet"/>
        <w:spacing w:after="40"/>
      </w:pPr>
      <w:r>
        <w:rPr>
          <w:b/>
        </w:rPr>
        <w:t>No persistence:</w:t>
      </w:r>
      <w:r>
        <w:t xml:space="preserve"> no localStorage, sessionStorage, IndexedDB, cookies or postMessage; at runtime localStorage.length, sessionStorage.length and document.cookie were all empty after adding tasks.</w:t>
      </w:r>
    </w:p>
    <w:p>
      <w:pPr>
        <w:pStyle w:val="ListBullet"/>
        <w:spacing w:after="40"/>
      </w:pPr>
      <w:r>
        <w:rPr>
          <w:b/>
        </w:rPr>
        <w:t>Single network call:</w:t>
      </w:r>
      <w:r>
        <w:t xml:space="preserve"> the only URL in index.html is the FormSubmit endpoint (line 765) and the only fetch is line 1358. In the test, 5 requests were attempted, all POSTs to formsubmit.co (intercepted and blocked; none reached the network). The payload contains only task fields, and errors are swallowed with a generic toast.</w:t>
      </w:r>
    </w:p>
    <w:p>
      <w:pPr>
        <w:pStyle w:val="ListBullet"/>
        <w:spacing w:after="40"/>
      </w:pPr>
      <w:r>
        <w:rPr>
          <w:b/>
        </w:rPr>
        <w:t>Validation:</w:t>
      </w:r>
      <w:r>
        <w:t xml:space="preserve"> title 80 and description 500 enforced in HTML and JS, required fields and past-date check in JS, html lang present, no secrets embedded.</w:t>
      </w:r>
    </w:p>
    <w:p>
      <w:pPr>
        <w:pStyle w:val="ListBullet"/>
        <w:spacing w:after="40"/>
      </w:pPr>
      <w:r>
        <w:rPr>
          <w:b/>
        </w:rPr>
        <w:t>Secrets:</w:t>
      </w:r>
      <w:r>
        <w:t xml:space="preserve"> no secret patterns (AKIA, ghp_, github_pat_, sk-, xox, private keys, bearer tokens, connection strings) in the tree or in 29 commits across all refs; the keyword hits for password, secret and token are all prose in the agent and command instructions or the CSS 'Design tokens' comment. No .env, .pem, .key or id_rsa file in history. docs/screenshot.png contains only seeded demo data and has no text or EXIF metadata chunks.</w:t>
      </w:r>
    </w:p>
    <w:p>
      <w:pPr>
        <w:pStyle w:val="ListBullet"/>
        <w:spacing w:after="40"/>
      </w:pPr>
      <w:r>
        <w:rPr>
          <w:b/>
        </w:rPr>
        <w:t>Personal data and email:</w:t>
      </w:r>
      <w:r>
        <w:t xml:space="preserve"> the only addresses are YOUR_EMAIL@example.com (index.html:765 and in the example text of two command files; the same placeholder appears in 3 history additions), noreply@anthropic.com in co-author trailers, and the GitHub noreply alias in author metadata. No real email address and no phone number exists in the working tree, git history, the pptx package or its embedded workbook. The deck contains only the seed task names and the placeholder owners from the demo data.</w:t>
      </w:r>
    </w:p>
    <w:p>
      <w:pPr>
        <w:pStyle w:val="ListBullet"/>
        <w:spacing w:after="40"/>
      </w:pPr>
      <w:r>
        <w:rPr>
          <w:b/>
        </w:rPr>
        <w:t>CI/CD:</w:t>
      </w:r>
      <w:r>
        <w:t xml:space="preserve"> workflow permissions are at the minimum Pages deployment needs (contents: read, pages: write, id-token: write), the trigger is push to master and manual dispatch only (no pull_request_target), the deployment uses the github-pages environment, concurrency is set, and no GitHub context is interpolated into shell commands. There is no package.json, so there are no dependencies to audit.</w:t>
      </w:r>
    </w:p>
    <w:p>
      <w:pPr>
        <w:pStyle w:val="Heading1"/>
      </w:pPr>
      <w:r>
        <w:t>6. Remediation roadmap</w:t>
      </w:r>
    </w:p>
    <w:tbl>
      <w:tblPr>
        <w:tblStyle w:val="TableGrid"/>
        <w:tblW w:type="auto" w:w="0"/>
        <w:jc w:val="center"/>
        <w:tblLayout w:type="fixed"/>
        <w:tblLook w:firstColumn="1" w:firstRow="1" w:lastColumn="0" w:lastRow="0" w:noHBand="0" w:noVBand="1" w:val="04A0"/>
        <w:tblLayout w:type="fixed"/>
      </w:tblPr>
      <w:tblGrid>
        <w:gridCol w:w="2448"/>
        <w:gridCol w:w="6048"/>
        <w:gridCol w:w="1440"/>
      </w:tblGrid>
      <w:tr>
        <w:trPr>
          <w:tblHeader w:val="true"/>
        </w:trPr>
        <w:tc>
          <w:tcPr>
            <w:tcW w:type="dxa" w:w="2448"/>
            <w:shd w:val="clear" w:color="auto" w:fill="0B2F6B"/>
          </w:tcPr>
          <w:p>
            <w:pPr>
              <w:spacing w:after="20"/>
            </w:pPr>
            <w:r/>
            <w:r>
              <w:rPr>
                <w:b/>
                <w:color w:val="FFFFFF"/>
                <w:sz w:val="19"/>
              </w:rPr>
              <w:t>Horizon</w:t>
            </w:r>
          </w:p>
        </w:tc>
        <w:tc>
          <w:tcPr>
            <w:tcW w:type="dxa" w:w="6048"/>
            <w:shd w:val="clear" w:color="auto" w:fill="0B2F6B"/>
          </w:tcPr>
          <w:p>
            <w:pPr>
              <w:spacing w:after="20"/>
            </w:pPr>
            <w:r/>
            <w:r>
              <w:rPr>
                <w:b/>
                <w:color w:val="FFFFFF"/>
                <w:sz w:val="19"/>
              </w:rPr>
              <w:t>Items</w:t>
            </w:r>
          </w:p>
        </w:tc>
        <w:tc>
          <w:tcPr>
            <w:tcW w:type="dxa" w:w="1440"/>
            <w:shd w:val="clear" w:color="auto" w:fill="0B2F6B"/>
          </w:tcPr>
          <w:p>
            <w:pPr>
              <w:spacing w:after="20"/>
            </w:pPr>
            <w:r/>
            <w:r>
              <w:rPr>
                <w:b/>
                <w:color w:val="FFFFFF"/>
                <w:sz w:val="19"/>
              </w:rPr>
              <w:t>Owner</w:t>
            </w:r>
          </w:p>
        </w:tc>
      </w:tr>
      <w:tr>
        <w:trPr>
          <w:cantSplit w:val="true"/>
        </w:trPr>
        <w:tc>
          <w:tcPr>
            <w:tcW w:type="dxa" w:w="2448"/>
          </w:tcPr>
          <w:p>
            <w:pPr>
              <w:spacing w:after="20"/>
            </w:pPr>
            <w:r/>
            <w:r>
              <w:rPr>
                <w:b w:val="0"/>
                <w:sz w:val="19"/>
              </w:rPr>
              <w:t>Now (Critical / High)</w:t>
            </w:r>
          </w:p>
        </w:tc>
        <w:tc>
          <w:tcPr>
            <w:tcW w:type="dxa" w:w="6048"/>
          </w:tcPr>
          <w:p>
            <w:pPr>
              <w:spacing w:after="20"/>
            </w:pPr>
            <w:r/>
            <w:r>
              <w:rPr>
                <w:b w:val="0"/>
                <w:sz w:val="19"/>
              </w:rPr>
              <w:t>None.</w:t>
            </w:r>
          </w:p>
        </w:tc>
        <w:tc>
          <w:tcPr>
            <w:tcW w:type="dxa" w:w="1440"/>
          </w:tcPr>
          <w:p>
            <w:pPr>
              <w:spacing w:after="20"/>
            </w:pPr>
            <w:r/>
            <w:r>
              <w:rPr>
                <w:b w:val="0"/>
                <w:sz w:val="19"/>
              </w:rPr>
            </w:r>
          </w:p>
        </w:tc>
      </w:tr>
      <w:tr>
        <w:trPr>
          <w:cantSplit w:val="true"/>
        </w:trPr>
        <w:tc>
          <w:tcPr>
            <w:tcW w:type="dxa" w:w="2448"/>
          </w:tcPr>
          <w:p>
            <w:pPr>
              <w:spacing w:after="20"/>
            </w:pPr>
            <w:r/>
            <w:r>
              <w:rPr>
                <w:b w:val="0"/>
                <w:sz w:val="19"/>
              </w:rPr>
              <w:t>Next (Medium)</w:t>
            </w:r>
          </w:p>
        </w:tc>
        <w:tc>
          <w:tcPr>
            <w:tcW w:type="dxa" w:w="6048"/>
          </w:tcPr>
          <w:p>
            <w:pPr>
              <w:spacing w:after="20"/>
            </w:pPr>
            <w:r/>
            <w:r>
              <w:rPr>
                <w:b w:val="0"/>
                <w:sz w:val="19"/>
              </w:rPr>
              <w:t>SEC-001 add CSP and referrer meta; SEC-002 pin Actions to SHAs and add Dependabot; SEC-003 pin @playwright/mcp</w:t>
            </w:r>
          </w:p>
        </w:tc>
        <w:tc>
          <w:tcPr>
            <w:tcW w:type="dxa" w:w="1440"/>
          </w:tcPr>
          <w:p>
            <w:pPr>
              <w:spacing w:after="20"/>
            </w:pPr>
            <w:r/>
            <w:r>
              <w:rPr>
                <w:b w:val="0"/>
                <w:sz w:val="19"/>
              </w:rPr>
            </w:r>
          </w:p>
        </w:tc>
      </w:tr>
      <w:tr>
        <w:trPr>
          <w:cantSplit w:val="true"/>
        </w:trPr>
        <w:tc>
          <w:tcPr>
            <w:tcW w:type="dxa" w:w="2448"/>
          </w:tcPr>
          <w:p>
            <w:pPr>
              <w:spacing w:after="20"/>
            </w:pPr>
            <w:r/>
            <w:r>
              <w:rPr>
                <w:b w:val="0"/>
                <w:sz w:val="19"/>
              </w:rPr>
              <w:t>Later (Low / Informational)</w:t>
            </w:r>
          </w:p>
        </w:tc>
        <w:tc>
          <w:tcPr>
            <w:tcW w:type="dxa" w:w="6048"/>
          </w:tcPr>
          <w:p>
            <w:pPr>
              <w:spacing w:after="20"/>
            </w:pPr>
            <w:r/>
            <w:r>
              <w:rPr>
                <w:b w:val="0"/>
                <w:sz w:val="19"/>
              </w:rPr>
              <w:t>SEC-004 cap assignee length and validate select values; SEC-005 notification cooldown; SEC-006 narrow tool permissions; SEC-007 to SEC-011 hardening and notices</w:t>
            </w:r>
          </w:p>
        </w:tc>
        <w:tc>
          <w:tcPr>
            <w:tcW w:type="dxa" w:w="1440"/>
          </w:tcPr>
          <w:p>
            <w:pPr>
              <w:spacing w:after="20"/>
            </w:pPr>
            <w:r/>
            <w:r>
              <w:rPr>
                <w:b w:val="0"/>
                <w:sz w:val="19"/>
              </w:rPr>
            </w:r>
          </w:p>
        </w:tc>
      </w:tr>
    </w:tbl>
    <w:p>
      <w:pPr>
        <w:spacing w:after="40"/>
      </w:pPr>
    </w:p>
    <w:p>
      <w:r>
        <w:rPr>
          <w:b w:val="0"/>
          <w:i/>
        </w:rPr>
        <w:t>Before setting a real address in FORMSUBMIT_ENDPOINT, complete SEC-005 and SEC-007; they become more important at that moment.</w:t>
      </w:r>
    </w:p>
    <w:p>
      <w:pPr>
        <w:pStyle w:val="Heading1"/>
      </w:pPr>
      <w:r>
        <w:t>7. Limitations and assumptions</w:t>
      </w:r>
    </w:p>
    <w:p>
      <w:pPr>
        <w:pStyle w:val="ListBullet"/>
        <w:spacing w:after="40"/>
      </w:pPr>
      <w:r>
        <w:t>Review is of this branch's committed files only; remote branches or settings on GitHub were not inspected, and the deployed Pages site and artifact were not fetched.</w:t>
      </w:r>
    </w:p>
    <w:p>
      <w:pPr>
        <w:pStyle w:val="ListBullet"/>
        <w:spacing w:after="40"/>
      </w:pPr>
      <w:r>
        <w:t>The dynamic test ran in headless Chromium only, from file://, with the FormSubmit host blocked, so FormSubmit's response handling was not exercised. The static result applies to any browser because the output encoding is done in script.</w:t>
      </w:r>
    </w:p>
    <w:p>
      <w:pPr>
        <w:pStyle w:val="ListBullet"/>
        <w:spacing w:after="40"/>
      </w:pPr>
      <w:r>
        <w:t>The PNG was inspected visually and for metadata chunks; no OCR was run. The pptx was inspected through its XML and strings, not rendered.</w:t>
      </w:r>
    </w:p>
    <w:p>
      <w:pPr>
        <w:pStyle w:val="ListBullet"/>
        <w:spacing w:after="40"/>
      </w:pPr>
      <w:r>
        <w:t>Findings about developer tooling (SEC-003, SEC-006) depend on how the project is used locally and are lower confidence in terms of real-world exposure.</w:t>
      </w:r>
    </w:p>
    <w:p>
      <w:pPr>
        <w:pStyle w:val="ListBullet"/>
        <w:spacing w:after="40"/>
      </w:pPr>
      <w:r>
        <w:t>The report was generated with python-docx and checked once through a LibreOffice PDF conversion.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ABC IT PMO Kanban Board - Security Assessment 2026-10-06 - Page </w:t>
    </w:r>
    <w:r>
      <w:rPr>
        <w:sz w:val="17"/>
      </w:rPr>
      <w:fldChar w:fldCharType="begin"/>
      <w:instrText xml:space="preserve">PAGE</w:instrText>
      <w:fldChar w:fldCharType="end"/>
    </w:r>
    <w:r>
      <w:rPr>
        <w:sz w:val="17"/>
      </w:rPr>
      <w:t xml:space="preserve"> of </w:t>
    </w:r>
    <w:r>
      <w:rPr>
        <w:sz w:val="17"/>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Calibri" w:hAnsi="Calibri" w:eastAsia="Calibri"/>
      <w:b/>
      <w:bCs/>
      <w:color w:val="0B2F6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B2F6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0B2F6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