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楷体" w:hAnsi="楷体" w:eastAsia="楷体" w:cs="楷体"/>
          <w:b/>
          <w:bCs/>
          <w:color w:val="000000" w:themeColor="text1"/>
          <w:sz w:val="36"/>
          <w:szCs w:val="36"/>
          <w:lang w:val="en-US" w:eastAsia="zh-CN"/>
          <w14:textFill>
            <w14:solidFill>
              <w14:schemeClr w14:val="tx1"/>
            </w14:solidFill>
          </w14:textFill>
        </w:rPr>
      </w:pPr>
      <w:r>
        <w:rPr>
          <w:rFonts w:hint="eastAsia" w:ascii="楷体" w:hAnsi="楷体" w:eastAsia="楷体" w:cs="楷体"/>
          <w:b/>
          <w:bCs/>
          <w:color w:val="000000" w:themeColor="text1"/>
          <w:sz w:val="36"/>
          <w:szCs w:val="36"/>
          <w:lang w:val="en-US" w:eastAsia="zh-CN"/>
          <w14:textFill>
            <w14:solidFill>
              <w14:schemeClr w14:val="tx1"/>
            </w14:solidFill>
          </w14:textFill>
        </w:rPr>
        <w:t>阅读理解03</w:t>
      </w:r>
    </w:p>
    <w:p>
      <w:pPr>
        <w:numPr>
          <w:ilvl w:val="0"/>
          <w:numId w:val="0"/>
        </w:numPr>
        <w:jc w:val="left"/>
        <w:rPr>
          <w:rFonts w:hint="eastAsia" w:ascii="Calibri" w:hAnsi="Calibri" w:eastAsia="楷体" w:cs="Calibri"/>
          <w:b/>
          <w:bCs/>
          <w:color w:val="000000"/>
          <w:kern w:val="2"/>
          <w:sz w:val="24"/>
          <w:szCs w:val="24"/>
          <w:lang w:val="en-US" w:eastAsia="zh-CN" w:bidi="ar"/>
        </w:rPr>
      </w:pPr>
      <w:r>
        <w:rPr>
          <w:rFonts w:hint="eastAsia" w:ascii="Calibri" w:hAnsi="Calibri" w:eastAsia="楷体" w:cs="Calibri"/>
          <w:b/>
          <w:bCs/>
          <w:color w:val="000000"/>
          <w:kern w:val="2"/>
          <w:sz w:val="24"/>
          <w:szCs w:val="24"/>
          <w:lang w:val="en-US" w:eastAsia="zh-CN" w:bidi="ar"/>
        </w:rPr>
        <w:t>Reading Comprehension</w:t>
      </w:r>
    </w:p>
    <w:p>
      <w:pPr>
        <w:numPr>
          <w:ilvl w:val="0"/>
          <w:numId w:val="0"/>
        </w:numPr>
        <w:jc w:val="left"/>
        <w:rPr>
          <w:rFonts w:hint="eastAsia" w:ascii="Calibri" w:hAnsi="Calibri" w:eastAsia="楷体" w:cs="Calibri"/>
          <w:b/>
          <w:bCs/>
          <w:color w:val="000000"/>
          <w:kern w:val="2"/>
          <w:sz w:val="24"/>
          <w:szCs w:val="24"/>
          <w:lang w:val="en-US" w:eastAsia="zh-CN" w:bidi="ar"/>
        </w:rPr>
      </w:pPr>
    </w:p>
    <w:p>
      <w:pPr>
        <w:rPr>
          <w:rFonts w:hint="default" w:ascii="Calibri" w:hAnsi="Calibri" w:eastAsia="楷体" w:cs="Calibri"/>
          <w:b w:val="0"/>
          <w:bCs w:val="0"/>
          <w:i/>
          <w:iCs/>
          <w:color w:val="000000"/>
          <w:kern w:val="2"/>
          <w:sz w:val="24"/>
          <w:szCs w:val="24"/>
          <w:lang w:val="en-US" w:eastAsia="zh-CN" w:bidi="ar"/>
        </w:rPr>
      </w:pPr>
      <w:r>
        <w:rPr>
          <w:rFonts w:hint="default" w:ascii="Calibri" w:hAnsi="Calibri" w:eastAsia="楷体" w:cs="Calibri"/>
          <w:b w:val="0"/>
          <w:bCs w:val="0"/>
          <w:i/>
          <w:iCs/>
          <w:color w:val="000000"/>
          <w:kern w:val="2"/>
          <w:sz w:val="24"/>
          <w:szCs w:val="24"/>
          <w:lang w:val="en-US" w:eastAsia="zh-CN" w:bidi="ar"/>
        </w:rPr>
        <w:t>Directions: There are four passages in this part. Each passage is followed by five questions or unfinished stat</w:t>
      </w:r>
      <w:r>
        <w:rPr>
          <w:rFonts w:hint="eastAsia" w:ascii="Calibri" w:hAnsi="Calibri" w:eastAsia="楷体" w:cs="Calibri"/>
          <w:b w:val="0"/>
          <w:bCs w:val="0"/>
          <w:i/>
          <w:iCs/>
          <w:color w:val="000000"/>
          <w:kern w:val="2"/>
          <w:sz w:val="24"/>
          <w:szCs w:val="24"/>
          <w:lang w:val="en-US" w:eastAsia="zh-CN" w:bidi="ar"/>
        </w:rPr>
        <w:t>e</w:t>
      </w:r>
      <w:r>
        <w:rPr>
          <w:rFonts w:hint="default" w:ascii="Calibri" w:hAnsi="Calibri" w:eastAsia="楷体" w:cs="Calibri"/>
          <w:b w:val="0"/>
          <w:bCs w:val="0"/>
          <w:i/>
          <w:iCs/>
          <w:color w:val="000000"/>
          <w:kern w:val="2"/>
          <w:sz w:val="24"/>
          <w:szCs w:val="24"/>
          <w:lang w:val="en-US" w:eastAsia="zh-CN" w:bidi="ar"/>
        </w:rPr>
        <w:t>ments.For each of them there are four choices marked A,B,C and D, Choose the best one and mark your answer on the ANSWER SHEET with a single bar through the center of the letter.</w:t>
      </w:r>
    </w:p>
    <w:p>
      <w:pPr>
        <w:rPr>
          <w:rFonts w:hint="eastAsia" w:ascii="Calibri" w:hAnsi="Calibri" w:eastAsiaTheme="minorEastAsia" w:cstheme="minorBidi"/>
          <w:b/>
          <w:color w:val="404040" w:themeColor="text1" w:themeTint="BF"/>
          <w:kern w:val="24"/>
          <w:sz w:val="28"/>
          <w:szCs w:val="28"/>
          <w:lang w:val="en-US" w:eastAsia="zh-CN" w:bidi="ar-SA"/>
          <w14:textFill>
            <w14:solidFill>
              <w14:schemeClr w14:val="tx1">
                <w14:lumMod w14:val="75000"/>
                <w14:lumOff w14:val="25000"/>
              </w14:schemeClr>
            </w14:solidFill>
          </w14:textFill>
        </w:rPr>
      </w:pPr>
      <w:r>
        <w:rPr>
          <w:rFonts w:hint="eastAsia" w:ascii="Calibri" w:hAnsi="Calibri" w:cstheme="minorBidi"/>
          <w:b/>
          <w:color w:val="404040" w:themeColor="text1" w:themeTint="BF"/>
          <w:kern w:val="24"/>
          <w:sz w:val="28"/>
          <w:szCs w:val="28"/>
          <w:lang w:val="en-US" w:eastAsia="zh-CN" w:bidi="ar-SA"/>
          <w14:textFill>
            <w14:solidFill>
              <w14:schemeClr w14:val="tx1">
                <w14:lumMod w14:val="75000"/>
                <w14:lumOff w14:val="25000"/>
              </w14:schemeClr>
            </w14:solidFill>
          </w14:textFill>
        </w:rPr>
        <w:t>Passage</w:t>
      </w: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 xml:space="preserve">     In 2011, Josh Trautwein was working as a nutrition educator in Boston. He learned that the neighborhood’s only grocery store was closing for a year of repair. The families were having a tough time finding another nearby market that sold fresh produce.</w:t>
      </w: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 xml:space="preserve">     Residents of Trautwein’s Boston community are not alone when it comes to lacking supermarkets that sell fresh and healthy food. According to the United States Department of Agriculture (USDA), 17% of Americans lived more than half a mile from a supermarket in 2017. The USDA uses the term “food deserts” to describe neighborhoods that lack access to nutritious food.</w:t>
      </w: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 xml:space="preserve">     Trautwein began to imagine a new kind of market, an oasis（</w:t>
      </w:r>
      <w:r>
        <w:rPr>
          <w:rFonts w:hint="eastAsia" w:ascii="楷体" w:hAnsi="楷体" w:eastAsia="楷体" w:cs="楷体"/>
          <w:b w:val="0"/>
          <w:bCs/>
          <w:color w:val="404040" w:themeColor="text1" w:themeTint="BF"/>
          <w:kern w:val="24"/>
          <w:sz w:val="24"/>
          <w:szCs w:val="24"/>
          <w:lang w:val="en-US" w:eastAsia="zh-CN" w:bidi="ar-SA"/>
          <w14:textFill>
            <w14:solidFill>
              <w14:schemeClr w14:val="tx1">
                <w14:lumMod w14:val="75000"/>
                <w14:lumOff w14:val="25000"/>
              </w14:schemeClr>
            </w14:solidFill>
          </w14:textFill>
        </w:rPr>
        <w:t>绿洲</w:t>
      </w: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）for communities in need. In 2013, he teamed up with Annika Morgan to launch Fresh Truck, a school bus that functions as a grocery store on wheels. Now ,with two mobile markets on the road, Fresh Truck provides communities in the Boston area with year-round access to fresh produce such as apples, carrots and eggplants at 17 locations.</w:t>
      </w: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 xml:space="preserve">     But Morgan says the term “food deserts” doesn’t paint a full picture. “The idea of food deserts implies that there is no food around” at all, she says, “when in reality there are a lot of barriers that prevent access.” these barriers include the high cost of fresh produce and people’s lack of familiarity with the produce that is available.</w:t>
      </w: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r>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t xml:space="preserve">     Getting state and local officials enthusiastic about food issues is one way to remove these barriers, says Anne Palmer. Her group campaigns for the need for policies that connect people with healthy food. “It’s been fun to watch communities use food as a tool to organize,” Palmer says. “The best thing about an issue like this is that you can do something about it.”</w:t>
      </w: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p>
    <w:p>
      <w:pPr>
        <w:tabs>
          <w:tab w:val="left" w:pos="5353"/>
        </w:tabs>
        <w:bidi w:val="0"/>
        <w:jc w:val="left"/>
        <w:rPr>
          <w:rFonts w:hint="eastAsia" w:ascii="Calibri" w:hAnsi="Calibri" w:eastAsiaTheme="minorEastAsia" w:cstheme="minorBidi"/>
          <w:b w:val="0"/>
          <w:bCs/>
          <w:color w:val="404040" w:themeColor="text1" w:themeTint="BF"/>
          <w:kern w:val="24"/>
          <w:sz w:val="24"/>
          <w:szCs w:val="24"/>
          <w:lang w:val="en-US" w:eastAsia="zh-CN" w:bidi="ar-SA"/>
          <w14:textFill>
            <w14:solidFill>
              <w14:schemeClr w14:val="tx1">
                <w14:lumMod w14:val="75000"/>
                <w14:lumOff w14:val="25000"/>
              </w14:schemeClr>
            </w14:solidFill>
          </w14:textFill>
        </w:rPr>
      </w:pPr>
    </w:p>
    <w:p>
      <w:pPr>
        <w:widowControl w:val="0"/>
        <w:numPr>
          <w:ilvl w:val="0"/>
          <w:numId w:val="1"/>
        </w:numPr>
        <w:jc w:val="both"/>
        <w:rPr>
          <w:rFonts w:hint="eastAsia"/>
          <w:lang w:val="en-US" w:eastAsia="zh-CN"/>
        </w:rPr>
      </w:pPr>
      <w:r>
        <w:rPr>
          <w:rFonts w:hint="eastAsia"/>
          <w:lang w:val="en-US" w:eastAsia="zh-CN"/>
        </w:rPr>
        <w:t xml:space="preserve">According to the passage, Trautwein's Boston neighborhood_____. </w:t>
      </w:r>
    </w:p>
    <w:p>
      <w:pPr>
        <w:widowControl w:val="0"/>
        <w:numPr>
          <w:ilvl w:val="0"/>
          <w:numId w:val="0"/>
        </w:numPr>
        <w:jc w:val="both"/>
        <w:rPr>
          <w:rFonts w:hint="eastAsia"/>
          <w:lang w:val="en-US" w:eastAsia="zh-CN"/>
        </w:rPr>
      </w:pPr>
      <w:r>
        <w:rPr>
          <w:rFonts w:hint="eastAsia"/>
          <w:lang w:val="en-US" w:eastAsia="zh-CN"/>
        </w:rPr>
        <w:t>A. had to overcome a unique problem</w:t>
      </w:r>
    </w:p>
    <w:p>
      <w:pPr>
        <w:widowControl w:val="0"/>
        <w:numPr>
          <w:ilvl w:val="0"/>
          <w:numId w:val="0"/>
        </w:numPr>
        <w:jc w:val="both"/>
        <w:rPr>
          <w:rFonts w:hint="eastAsia"/>
          <w:lang w:val="en-US" w:eastAsia="zh-CN"/>
        </w:rPr>
      </w:pPr>
      <w:r>
        <w:rPr>
          <w:rFonts w:hint="eastAsia"/>
          <w:lang w:val="en-US" w:eastAsia="zh-CN"/>
        </w:rPr>
        <w:t>B. suffered from a long-term problem</w:t>
      </w:r>
    </w:p>
    <w:p>
      <w:pPr>
        <w:widowControl w:val="0"/>
        <w:numPr>
          <w:ilvl w:val="0"/>
          <w:numId w:val="0"/>
        </w:numPr>
        <w:jc w:val="both"/>
        <w:rPr>
          <w:rFonts w:hint="eastAsia"/>
          <w:lang w:val="en-US" w:eastAsia="zh-CN"/>
        </w:rPr>
      </w:pPr>
      <w:r>
        <w:rPr>
          <w:rFonts w:hint="eastAsia"/>
          <w:lang w:val="en-US" w:eastAsia="zh-CN"/>
        </w:rPr>
        <w:t>C. created a new problem without knowing it</w:t>
      </w:r>
    </w:p>
    <w:p>
      <w:pPr>
        <w:widowControl w:val="0"/>
        <w:numPr>
          <w:ilvl w:val="0"/>
          <w:numId w:val="0"/>
        </w:numPr>
        <w:jc w:val="both"/>
        <w:rPr>
          <w:rFonts w:hint="eastAsia"/>
          <w:lang w:val="en-US" w:eastAsia="zh-CN"/>
        </w:rPr>
      </w:pPr>
      <w:r>
        <w:rPr>
          <w:rFonts w:hint="eastAsia"/>
          <w:lang w:val="en-US" w:eastAsia="zh-CN"/>
        </w:rPr>
        <w:t>D. shared a problem with other communities</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Fresh Truck serves as _____.</w:t>
      </w:r>
    </w:p>
    <w:p>
      <w:pPr>
        <w:widowControl w:val="0"/>
        <w:numPr>
          <w:ilvl w:val="0"/>
          <w:numId w:val="0"/>
        </w:numPr>
        <w:jc w:val="both"/>
        <w:rPr>
          <w:rFonts w:hint="eastAsia"/>
          <w:lang w:val="en-US" w:eastAsia="zh-CN"/>
        </w:rPr>
      </w:pPr>
      <w:r>
        <w:rPr>
          <w:rFonts w:hint="eastAsia"/>
          <w:lang w:val="en-US" w:eastAsia="zh-CN"/>
        </w:rPr>
        <w:t>A. a school bus</w:t>
      </w:r>
    </w:p>
    <w:p>
      <w:pPr>
        <w:widowControl w:val="0"/>
        <w:numPr>
          <w:ilvl w:val="0"/>
          <w:numId w:val="0"/>
        </w:numPr>
        <w:jc w:val="both"/>
        <w:rPr>
          <w:rFonts w:hint="eastAsia"/>
          <w:lang w:val="en-US" w:eastAsia="zh-CN"/>
        </w:rPr>
      </w:pPr>
      <w:r>
        <w:rPr>
          <w:rFonts w:hint="eastAsia"/>
          <w:lang w:val="en-US" w:eastAsia="zh-CN"/>
        </w:rPr>
        <w:t>B. a grocery store</w:t>
      </w:r>
    </w:p>
    <w:p>
      <w:pPr>
        <w:widowControl w:val="0"/>
        <w:numPr>
          <w:ilvl w:val="0"/>
          <w:numId w:val="0"/>
        </w:numPr>
        <w:jc w:val="both"/>
        <w:rPr>
          <w:rFonts w:hint="eastAsia"/>
          <w:lang w:val="en-US" w:eastAsia="zh-CN"/>
        </w:rPr>
      </w:pPr>
      <w:r>
        <w:rPr>
          <w:rFonts w:hint="eastAsia"/>
          <w:lang w:val="en-US" w:eastAsia="zh-CN"/>
        </w:rPr>
        <w:t>C. a supermarket</w:t>
      </w:r>
    </w:p>
    <w:p>
      <w:pPr>
        <w:widowControl w:val="0"/>
        <w:numPr>
          <w:ilvl w:val="0"/>
          <w:numId w:val="0"/>
        </w:numPr>
        <w:jc w:val="both"/>
        <w:rPr>
          <w:rFonts w:hint="eastAsia"/>
          <w:lang w:val="en-US" w:eastAsia="zh-CN"/>
        </w:rPr>
      </w:pPr>
      <w:r>
        <w:rPr>
          <w:rFonts w:hint="eastAsia"/>
          <w:lang w:val="en-US" w:eastAsia="zh-CN"/>
        </w:rPr>
        <w:t>D. a restaurant</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According to Morgan, the term “food deserts”_____.</w:t>
      </w:r>
    </w:p>
    <w:p>
      <w:pPr>
        <w:widowControl w:val="0"/>
        <w:numPr>
          <w:ilvl w:val="0"/>
          <w:numId w:val="0"/>
        </w:numPr>
        <w:jc w:val="both"/>
        <w:rPr>
          <w:rFonts w:hint="eastAsia"/>
          <w:lang w:val="en-US" w:eastAsia="zh-CN"/>
        </w:rPr>
      </w:pPr>
      <w:r>
        <w:rPr>
          <w:rFonts w:hint="eastAsia"/>
          <w:lang w:val="en-US" w:eastAsia="zh-CN"/>
        </w:rPr>
        <w:t>A. refers to a supply of food</w:t>
      </w:r>
    </w:p>
    <w:p>
      <w:pPr>
        <w:widowControl w:val="0"/>
        <w:numPr>
          <w:ilvl w:val="0"/>
          <w:numId w:val="0"/>
        </w:numPr>
        <w:jc w:val="both"/>
        <w:rPr>
          <w:rFonts w:hint="eastAsia"/>
          <w:lang w:val="en-US" w:eastAsia="zh-CN"/>
        </w:rPr>
      </w:pPr>
      <w:r>
        <w:rPr>
          <w:rFonts w:hint="eastAsia"/>
          <w:lang w:val="en-US" w:eastAsia="zh-CN"/>
        </w:rPr>
        <w:t>B. helps to identify the areas in need</w:t>
      </w:r>
    </w:p>
    <w:p>
      <w:pPr>
        <w:widowControl w:val="0"/>
        <w:numPr>
          <w:ilvl w:val="0"/>
          <w:numId w:val="0"/>
        </w:numPr>
        <w:jc w:val="both"/>
        <w:rPr>
          <w:rFonts w:hint="eastAsia"/>
          <w:lang w:val="en-US" w:eastAsia="zh-CN"/>
        </w:rPr>
      </w:pPr>
      <w:r>
        <w:rPr>
          <w:rFonts w:hint="eastAsia"/>
          <w:lang w:val="en-US" w:eastAsia="zh-CN"/>
        </w:rPr>
        <w:t>C. gives an inaccurate description</w:t>
      </w:r>
    </w:p>
    <w:p>
      <w:pPr>
        <w:widowControl w:val="0"/>
        <w:numPr>
          <w:ilvl w:val="0"/>
          <w:numId w:val="0"/>
        </w:numPr>
        <w:jc w:val="both"/>
        <w:rPr>
          <w:rFonts w:hint="eastAsia"/>
          <w:lang w:val="en-US" w:eastAsia="zh-CN"/>
        </w:rPr>
      </w:pPr>
      <w:r>
        <w:rPr>
          <w:rFonts w:hint="eastAsia"/>
          <w:lang w:val="en-US" w:eastAsia="zh-CN"/>
        </w:rPr>
        <w:t>D. fails to include preactical solutions</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 xml:space="preserve">4. </w:t>
      </w:r>
      <w:bookmarkStart w:id="0" w:name="_GoBack"/>
      <w:r>
        <w:rPr>
          <w:rFonts w:hint="eastAsia"/>
          <w:lang w:val="en-US" w:eastAsia="zh-CN"/>
        </w:rPr>
        <w:t>Palmer's</w:t>
      </w:r>
      <w:bookmarkEnd w:id="0"/>
      <w:r>
        <w:rPr>
          <w:rFonts w:hint="eastAsia"/>
          <w:lang w:val="en-US" w:eastAsia="zh-CN"/>
        </w:rPr>
        <w:t xml:space="preserve"> group intends to_____.</w:t>
      </w:r>
    </w:p>
    <w:p>
      <w:pPr>
        <w:widowControl w:val="0"/>
        <w:numPr>
          <w:ilvl w:val="0"/>
          <w:numId w:val="0"/>
        </w:numPr>
        <w:jc w:val="both"/>
        <w:rPr>
          <w:rFonts w:hint="eastAsia"/>
          <w:lang w:val="en-US" w:eastAsia="zh-CN"/>
        </w:rPr>
      </w:pPr>
      <w:r>
        <w:rPr>
          <w:rFonts w:hint="eastAsia"/>
          <w:lang w:val="en-US" w:eastAsia="zh-CN"/>
        </w:rPr>
        <w:t>A. educate people on available fresh produce</w:t>
      </w:r>
    </w:p>
    <w:p>
      <w:pPr>
        <w:widowControl w:val="0"/>
        <w:numPr>
          <w:ilvl w:val="0"/>
          <w:numId w:val="0"/>
        </w:numPr>
        <w:jc w:val="both"/>
        <w:rPr>
          <w:rFonts w:hint="eastAsia"/>
          <w:lang w:val="en-US" w:eastAsia="zh-CN"/>
        </w:rPr>
      </w:pPr>
      <w:r>
        <w:rPr>
          <w:rFonts w:hint="eastAsia"/>
          <w:lang w:val="en-US" w:eastAsia="zh-CN"/>
        </w:rPr>
        <w:t>B. push for more favorable food policies</w:t>
      </w:r>
    </w:p>
    <w:p>
      <w:pPr>
        <w:widowControl w:val="0"/>
        <w:numPr>
          <w:ilvl w:val="0"/>
          <w:numId w:val="0"/>
        </w:numPr>
        <w:jc w:val="both"/>
        <w:rPr>
          <w:rFonts w:hint="eastAsia"/>
          <w:lang w:val="en-US" w:eastAsia="zh-CN"/>
        </w:rPr>
      </w:pPr>
      <w:r>
        <w:rPr>
          <w:rFonts w:hint="eastAsia"/>
          <w:lang w:val="en-US" w:eastAsia="zh-CN"/>
        </w:rPr>
        <w:t>C. provide healthy food at affordable prices</w:t>
      </w:r>
    </w:p>
    <w:p>
      <w:pPr>
        <w:widowControl w:val="0"/>
        <w:numPr>
          <w:ilvl w:val="0"/>
          <w:numId w:val="0"/>
        </w:numPr>
        <w:jc w:val="both"/>
        <w:rPr>
          <w:rFonts w:hint="eastAsia"/>
          <w:lang w:val="en-US" w:eastAsia="zh-CN"/>
        </w:rPr>
      </w:pPr>
      <w:r>
        <w:rPr>
          <w:rFonts w:hint="eastAsia"/>
          <w:lang w:val="en-US" w:eastAsia="zh-CN"/>
        </w:rPr>
        <w:t>D. open new grocery stores for local communities</w:t>
      </w:r>
    </w:p>
    <w:p>
      <w:pPr>
        <w:widowControl w:val="0"/>
        <w:numPr>
          <w:ilvl w:val="0"/>
          <w:numId w:val="0"/>
        </w:numPr>
        <w:jc w:val="both"/>
        <w:rPr>
          <w:rFonts w:hint="eastAsia"/>
          <w:lang w:val="en-US" w:eastAsia="zh-CN"/>
        </w:rPr>
      </w:pPr>
    </w:p>
    <w:p>
      <w:pPr>
        <w:tabs>
          <w:tab w:val="left" w:pos="5293"/>
        </w:tabs>
        <w:bidi w:val="0"/>
        <w:jc w:val="left"/>
        <w:rPr>
          <w:rFonts w:hint="eastAsia"/>
          <w:lang w:val="en-US" w:eastAsia="zh-CN"/>
        </w:rPr>
      </w:pPr>
      <w:r>
        <w:rPr>
          <w:rFonts w:hint="eastAsia"/>
          <w:lang w:val="en-US" w:eastAsia="zh-CN"/>
        </w:rPr>
        <w:t>5. Which of the following can be the best title for the passage?</w:t>
      </w:r>
    </w:p>
    <w:p>
      <w:pPr>
        <w:tabs>
          <w:tab w:val="left" w:pos="5293"/>
        </w:tabs>
        <w:bidi w:val="0"/>
        <w:jc w:val="left"/>
        <w:rPr>
          <w:rFonts w:hint="eastAsia"/>
          <w:lang w:val="en-US" w:eastAsia="zh-CN"/>
        </w:rPr>
      </w:pPr>
      <w:r>
        <w:rPr>
          <w:rFonts w:hint="eastAsia"/>
          <w:lang w:val="en-US" w:eastAsia="zh-CN"/>
        </w:rPr>
        <w:t>A. An Oasis(</w:t>
      </w:r>
      <w:r>
        <w:rPr>
          <w:rFonts w:hint="eastAsia" w:ascii="楷体" w:hAnsi="楷体" w:eastAsia="楷体" w:cs="楷体"/>
          <w:lang w:val="en-US" w:eastAsia="zh-CN"/>
        </w:rPr>
        <w:t>绿洲</w:t>
      </w:r>
      <w:r>
        <w:rPr>
          <w:rFonts w:hint="eastAsia"/>
          <w:lang w:val="en-US" w:eastAsia="zh-CN"/>
        </w:rPr>
        <w:t>) on Wheels</w:t>
      </w:r>
    </w:p>
    <w:p>
      <w:pPr>
        <w:tabs>
          <w:tab w:val="left" w:pos="5293"/>
        </w:tabs>
        <w:bidi w:val="0"/>
        <w:jc w:val="left"/>
        <w:rPr>
          <w:rFonts w:hint="eastAsia"/>
          <w:lang w:val="en-US" w:eastAsia="zh-CN"/>
        </w:rPr>
      </w:pPr>
      <w:r>
        <w:rPr>
          <w:rFonts w:hint="eastAsia"/>
          <w:lang w:val="en-US" w:eastAsia="zh-CN"/>
        </w:rPr>
        <w:t>B. A Nutrition War</w:t>
      </w:r>
    </w:p>
    <w:p>
      <w:pPr>
        <w:tabs>
          <w:tab w:val="left" w:pos="5293"/>
        </w:tabs>
        <w:bidi w:val="0"/>
        <w:jc w:val="left"/>
        <w:rPr>
          <w:rFonts w:hint="eastAsia"/>
          <w:lang w:val="en-US" w:eastAsia="zh-CN"/>
        </w:rPr>
      </w:pPr>
      <w:r>
        <w:rPr>
          <w:rFonts w:hint="eastAsia"/>
          <w:lang w:val="en-US" w:eastAsia="zh-CN"/>
        </w:rPr>
        <w:t>C. Food as a Tool</w:t>
      </w:r>
    </w:p>
    <w:p>
      <w:pPr>
        <w:tabs>
          <w:tab w:val="left" w:pos="5293"/>
        </w:tabs>
        <w:bidi w:val="0"/>
        <w:jc w:val="left"/>
        <w:rPr>
          <w:rFonts w:hint="eastAsia"/>
          <w:lang w:val="en-US" w:eastAsia="zh-CN"/>
        </w:rPr>
      </w:pPr>
      <w:r>
        <w:rPr>
          <w:rFonts w:hint="eastAsia"/>
          <w:lang w:val="en-US" w:eastAsia="zh-CN"/>
        </w:rPr>
        <w:t>D. Food Deserts or Not</w:t>
      </w:r>
    </w:p>
    <w:p>
      <w:pPr>
        <w:tabs>
          <w:tab w:val="left" w:pos="5293"/>
        </w:tabs>
        <w:bidi w:val="0"/>
        <w:jc w:val="left"/>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3107055" cy="4634865"/>
          <wp:effectExtent l="0" t="0" r="0" b="0"/>
          <wp:wrapNone/>
          <wp:docPr id="13" name="WordPictureWatermark127957" descr="自考树logo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PictureWatermark127957" descr="自考树logo水印"/>
                  <pic:cNvPicPr>
                    <a:picLocks noChangeAspect="1"/>
                  </pic:cNvPicPr>
                </pic:nvPicPr>
                <pic:blipFill>
                  <a:blip r:embed="rId1">
                    <a:lum bright="69998" contrast="-70001"/>
                  </a:blip>
                  <a:stretch>
                    <a:fillRect/>
                  </a:stretch>
                </pic:blipFill>
                <pic:spPr>
                  <a:xfrm>
                    <a:off x="0" y="0"/>
                    <a:ext cx="3107055" cy="4634865"/>
                  </a:xfrm>
                  <a:prstGeom prst="rect">
                    <a:avLst/>
                  </a:prstGeom>
                  <a:noFill/>
                  <a:ln>
                    <a:noFill/>
                  </a:ln>
                </pic:spPr>
              </pic:pic>
            </a:graphicData>
          </a:graphic>
        </wp:anchor>
      </w:drawing>
    </w:r>
    <w:r>
      <w:drawing>
        <wp:inline distT="0" distB="0" distL="0" distR="0">
          <wp:extent cx="1273810" cy="635635"/>
          <wp:effectExtent l="0" t="0" r="8890" b="12065"/>
          <wp:docPr id="7" name="图片 0" descr="自考树课堂及二维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0" descr="自考树课堂及二维码.jpg"/>
                  <pic:cNvPicPr>
                    <a:picLocks noChangeAspect="1"/>
                  </pic:cNvPicPr>
                </pic:nvPicPr>
                <pic:blipFill>
                  <a:blip r:embed="rId2"/>
                  <a:stretch>
                    <a:fillRect/>
                  </a:stretch>
                </pic:blipFill>
                <pic:spPr>
                  <a:xfrm>
                    <a:off x="0" y="0"/>
                    <a:ext cx="1282910" cy="64037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9BAA4A"/>
    <w:multiLevelType w:val="singleLevel"/>
    <w:tmpl w:val="9C9BAA4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C249D"/>
    <w:rsid w:val="01CC7D07"/>
    <w:rsid w:val="037C072D"/>
    <w:rsid w:val="03D66524"/>
    <w:rsid w:val="05B23263"/>
    <w:rsid w:val="06432EF6"/>
    <w:rsid w:val="06D70631"/>
    <w:rsid w:val="07097A08"/>
    <w:rsid w:val="08864DE1"/>
    <w:rsid w:val="099E2AD9"/>
    <w:rsid w:val="0AE63974"/>
    <w:rsid w:val="0CFE40EE"/>
    <w:rsid w:val="0D430D33"/>
    <w:rsid w:val="0DF85530"/>
    <w:rsid w:val="0F2931BD"/>
    <w:rsid w:val="10800F62"/>
    <w:rsid w:val="112A359B"/>
    <w:rsid w:val="15905245"/>
    <w:rsid w:val="168B7990"/>
    <w:rsid w:val="16926D67"/>
    <w:rsid w:val="16D97849"/>
    <w:rsid w:val="18C8270E"/>
    <w:rsid w:val="192A75A2"/>
    <w:rsid w:val="19754AD0"/>
    <w:rsid w:val="19A51C00"/>
    <w:rsid w:val="19C55DE4"/>
    <w:rsid w:val="1BEE4C92"/>
    <w:rsid w:val="1F002124"/>
    <w:rsid w:val="1F126BD7"/>
    <w:rsid w:val="20D02BC8"/>
    <w:rsid w:val="226D41E0"/>
    <w:rsid w:val="228A73A6"/>
    <w:rsid w:val="22BB055B"/>
    <w:rsid w:val="22E86EC5"/>
    <w:rsid w:val="22F9494C"/>
    <w:rsid w:val="24211D57"/>
    <w:rsid w:val="24503818"/>
    <w:rsid w:val="26F31680"/>
    <w:rsid w:val="29582BF8"/>
    <w:rsid w:val="29A51D5F"/>
    <w:rsid w:val="29BD2DA1"/>
    <w:rsid w:val="2BC614C5"/>
    <w:rsid w:val="2DCD7809"/>
    <w:rsid w:val="30606E7A"/>
    <w:rsid w:val="35295CCA"/>
    <w:rsid w:val="37703410"/>
    <w:rsid w:val="37A36676"/>
    <w:rsid w:val="38082A3B"/>
    <w:rsid w:val="38254695"/>
    <w:rsid w:val="384240AC"/>
    <w:rsid w:val="38BE7816"/>
    <w:rsid w:val="398F26A8"/>
    <w:rsid w:val="3A9124B8"/>
    <w:rsid w:val="3B1E68F1"/>
    <w:rsid w:val="3D7E47FF"/>
    <w:rsid w:val="3DD70C6E"/>
    <w:rsid w:val="3E0A4856"/>
    <w:rsid w:val="3E961227"/>
    <w:rsid w:val="419035C2"/>
    <w:rsid w:val="41A262AD"/>
    <w:rsid w:val="49882845"/>
    <w:rsid w:val="4FC457C1"/>
    <w:rsid w:val="51BA07E0"/>
    <w:rsid w:val="52185BF3"/>
    <w:rsid w:val="52C32D06"/>
    <w:rsid w:val="54CA4D21"/>
    <w:rsid w:val="55403302"/>
    <w:rsid w:val="58131E70"/>
    <w:rsid w:val="581D7017"/>
    <w:rsid w:val="583636D6"/>
    <w:rsid w:val="586E79DA"/>
    <w:rsid w:val="58755C30"/>
    <w:rsid w:val="587761E8"/>
    <w:rsid w:val="592F12AD"/>
    <w:rsid w:val="5BBF1406"/>
    <w:rsid w:val="5BC37F71"/>
    <w:rsid w:val="5C7A12AF"/>
    <w:rsid w:val="5ED65691"/>
    <w:rsid w:val="600A0C24"/>
    <w:rsid w:val="64641E74"/>
    <w:rsid w:val="65F023E9"/>
    <w:rsid w:val="660A7F9D"/>
    <w:rsid w:val="660E28BB"/>
    <w:rsid w:val="66B0563E"/>
    <w:rsid w:val="66EB05AD"/>
    <w:rsid w:val="693B6E55"/>
    <w:rsid w:val="695916C9"/>
    <w:rsid w:val="69E11B84"/>
    <w:rsid w:val="6A5D0F8E"/>
    <w:rsid w:val="6C091B9E"/>
    <w:rsid w:val="6D7E2594"/>
    <w:rsid w:val="71A73468"/>
    <w:rsid w:val="72874D14"/>
    <w:rsid w:val="730D59ED"/>
    <w:rsid w:val="73171C87"/>
    <w:rsid w:val="73BA52F0"/>
    <w:rsid w:val="74662D9E"/>
    <w:rsid w:val="76FB4115"/>
    <w:rsid w:val="7C0F4EA7"/>
    <w:rsid w:val="7C120BE0"/>
    <w:rsid w:val="7C795251"/>
    <w:rsid w:val="7C9C5819"/>
    <w:rsid w:val="7F0D5040"/>
    <w:rsid w:val="7F9C5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2021-02-19T05:30:00Z</dcterms:created>
  <dc:creator>自考树英语二</dc:creator>
  <cp:lastModifiedBy>林煦</cp:lastModifiedBy>
  <dcterms:modified xsi:type="dcterms:W3CDTF">2021-03-04T04:03:35Z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