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kgfq86arw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照護一點通：個資保護與合規開發指引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zyod4o3mt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 隱私告知與警示顯示位置建議 (UI/UX 佈局)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為了確保合規，警示內容應安置於使用者「必然經過」的關鍵路徑上：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「開始試算」/「登入照護日記」按鈕下方：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在用戶點擊按鈕的前方，顯示一行醒目的「隱私條款同意宣告」。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顯示方式：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使用淺顯易懂的文字，並提供「隱私權政策」超連結。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務必放置一個「勾選框 (Checkbox)」，並設為「未勾選則無法進行」的限制，以取得明確同意。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彈出式視窗 (Modal)：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當使用者點擊「登入照護日記」或「開始試算」後，跳出一個視窗要求詳細閱讀。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顯示內容：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完整的個資告知事項（包含蒐集目的、類別、去識別化處理說明）。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hwgtxd82e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 隱私權聲明與蒐集告知範本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請將以下文字置入您的系統隱私權政策頁面或彈出視窗中：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【個資蒐集告知聲明】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「照護一點通」非常重視您的個人資料保護。在您使用本系統進行補助試算或照護紀錄時，我們依據《個人資料保護法》告知您以下事項：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蒐集目的：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提供長照服務補助試算、個人化照護提醒及後續長照資源之統計分析。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蒐集類別：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包含但不限於身心失能狀況評估、醫療相關紀錄、年齡區塊及居住地區等。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資料保護措施：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本系統採取嚴格的加密保護，所有上傳之照護資訊，將於去識別化處理後轉為統計數據庫，以確保無法直接連結至特定自然人。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當事人權利：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您享有查詢、閱覽、補充、更正或請求刪除帳號及相關資料之權利。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同意條款：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點選「我同意」即代表您了解並授權本平台依上述說明處理您的資料。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5m45hy6ka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 給企業買斷方的合規條款架構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若未來將系統權利移轉予企業，合約中必須包含以下條款以降低法律風險：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資料擁有權與處理權定義：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明訂買受機構為「資料控制者 (Data Controller)」，須承擔最終法律合規責任；開發商為「資料處理者 (Data Processor)」。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免責與責任劃分：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開發商僅就系統功能運作負擔維護義務。若資料在經過去識別化後被惡意還原，或因買受方管理不當導致外洩，責任歸屬需釐清為買受方責任。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系統交付資產清單：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交付時應同步移交：「隱私影響評估報告 (PIA)」、「去識別化架構說明書」及「存取稽核 Log 設定檔」，證明系統在開發階段已落實隱私設計 (Privacy by Design)。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99v32niay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 未來系統提升建議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為了確保長期合規價值，系統應具備：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自動化去識別化引擎：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原始數據在進入數據庫前即剝離個人標識。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嚴格存取控制 (RBAC)：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建立完善的權限分級，並自動記錄「誰」、「何時」查看了何種資料。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不可變架構防護：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運用不可變架構抵禦勒索軟體，保護珍貴的醫療數據資產。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註：本文件提供之內容僅為開發階段參考，正式商業買斷合約與聲明文案，請委請法律專業人士進行審閱。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fy3r40ewz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[Word 文件內容結束]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下一步建議：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由於您提到的醫療資料涉及特種個資，且未來有數據變現與買斷需求，建議您先將上述文字放置於網站測試環境中，並請相關產業法務確認是否符合貴方對於「去識別化」的具體定義。是否需要我協助撰寫一份更詳細的「去識別化技術架構」說明，以便未來移交給機構？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