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CareEasy 商業模式延伸 v1 — 營運成本・定價・交易模式・產品藍圖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2026-07｜供決賽簡報第 6 段與 Q&amp;A 使用｜匯率假設 1 USD = NT$32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 xml:space="preserve">資料來源：Anthropic API 官方費率（2026-07 現行）、Supabase/Vercel 公開方案價；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 xml:space="preserve">實際以各服務商當期公告為準。所有金額為推估，非承諾。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一、功能全 Ready 後的月營運成本試算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1.1 成本結構總覽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固定底盤（不隨用戶數變動，覆蓋至數千用戶）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 Vercel Pro（前端託管）        ~US$20  ≈ NT$640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 Supabase Pro（資料庫 8GB）    ~US$25  ≈ NT$800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 網域＋雜項                              ≈ NT$200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固定合計                               ≈ NT$1,650／月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變動成本（隨活躍用戶／機構數線性）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 家屬端 AI（每活躍用戶／月）             ≈ NT$2–3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 家屬端資料庫（每用戶／年 &lt;1MB）         ≈ 趨近 0（底盤內）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 機構端 OCR（每張紙本）                  ≈ NT$0.5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1.2 家屬端 AI 單位成本（模型：Sonnet 4.6 = $3/$15 每百萬 tokens）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功能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用量假設／月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單次 tokens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月成本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AI 就醫摘要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 次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輸入 2K＋輸出 0.3K ≈ US$0.0105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≈ NT$1.4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日誌語意標籤建議（Haiku 4.5 = $1/$5）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30 則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輸入 0.4K＋輸出 0.05K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≈ NT$0.7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照護訊號引擎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每日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規則引擎，0 token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NT$0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每活躍用戶合計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≈ NT$2–3</w:t>
            </w:r>
          </w:p>
        </w:tc>
      </w:tr>
    </w:tbl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關鍵洞察：訊號分析採規則引擎的架構決策，同時是</w:t>
      </w:r>
      <w:r>
        <w:rPr>
          <w:b/>
          <w:bCs/>
          <w:i/>
          <w:iCs/>
          <w:color w:val="666666"/>
        </w:rPr>
        <w:t xml:space="preserve">合規優勢</w:t>
      </w:r>
      <w:r>
        <w:rPr>
          <w:i/>
          <w:iCs/>
          <w:color w:val="666666"/>
        </w:rPr>
        <w:t xml:space="preserve">與</w:t>
      </w:r>
      <w:r>
        <w:rPr>
          <w:b/>
          <w:bCs/>
          <w:i/>
          <w:iCs/>
          <w:color w:val="666666"/>
        </w:rPr>
        <w:t xml:space="preserve">成本優勢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 xml:space="preserve">——競品若用 LLM 做每日分析，單位成本是我們的 10 倍以上。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 xml:space="preserve">另有兩個降本槓桿備用：Batch API（非即時工作 5 折）、prompt caching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 xml:space="preserve">（重複脈絡輸入成本省 90%）。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1.3 機構端 OCR 單位成本（Sonnet 4.6 vision）</w:t>
      </w:r>
    </w:p>
    <w:p>
      <w:pPr>
        <w:spacing w:line="360" w:before="120" w:after="120"/>
      </w:pPr>
      <w:r>
        <w:t xml:space="preserve">每張紙本：影像 ~1.6K＋提示 0.5K 輸入、輸出 0.6K ≈ US$0.015 ≈ </w:t>
      </w:r>
      <w:r>
        <w:rPr>
          <w:b/>
          <w:bCs/>
        </w:rPr>
        <w:t xml:space="preserve">NT$0.5／張</w:t>
      </w:r>
      <w:r>
        <w:t xml:space="preserve">。</w:t>
      </w:r>
      <w:r>
        <w:t xml:space="preserve"> </w:t>
      </w:r>
      <w:r>
        <w:t xml:space="preserve">月處理 300 張的機構 ≈ NT$150；夜間批次跑可再半價。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1.4 規模情境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情境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活躍家屬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付費家屬(8%)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機構數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月成本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月營收(下表定價)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毛利率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起步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500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≈ NT$3.5K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≈ NT$14K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~75%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成長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5,000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≈ NT$18K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≈ NT$100K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~82%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規模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20,000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1,600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≈ NT$65K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≈ NT$358K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~82%</w:t>
            </w:r>
          </w:p>
        </w:tc>
      </w:tr>
    </w:tbl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二、建議定價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2.1 家屬端訂閱（B2C）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方案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定價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內容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單位成本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毛利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免費版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NT$0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 位個案・90 天保存・照護訊號・摘要每月 2 次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≈ NT$1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獲客成本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進階版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NT$149／月</w:t>
            </w:r>
            <w:r>
              <w:t xml:space="preserve">（年繳 NT$1,490，約 83 折）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多位個案・無限保存・摘要不限次・PDF 匯出・家屬共編・AI 週報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≈ NT$5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&gt;95%</w:t>
            </w:r>
          </w:p>
        </w:tc>
      </w:tr>
    </w:tbl>
    <w:p>
      <w:pPr>
        <w:spacing w:line="360" w:before="120" w:after="120"/>
      </w:pPr>
      <w:r>
        <w:t xml:space="preserve">定價邏輯：(a) 對照台灣消費訂閱錨點（音樂串流 NT$149、影音 NT$199–390），</w:t>
      </w:r>
      <w:r>
        <w:t xml:space="preserve"> </w:t>
      </w:r>
      <w:r>
        <w:t xml:space="preserve">NT$149 位於「不需思考」的心理區間；(b) 目標族群為經濟壓力敏感的照顧家庭，</w:t>
      </w:r>
      <w:r>
        <w:t xml:space="preserve"> </w:t>
      </w:r>
      <w:r>
        <w:t xml:space="preserve">定價策略是</w:t>
      </w:r>
      <w:r>
        <w:rPr>
          <w:b/>
          <w:bCs/>
        </w:rPr>
        <w:t xml:space="preserve">低價高滲透</w:t>
      </w:r>
      <w:r>
        <w:t xml:space="preserve">而非高價低量；© 損益兩平僅需 </w:t>
      </w:r>
      <w:r>
        <w:rPr>
          <w:b/>
          <w:bCs/>
        </w:rPr>
        <w:t xml:space="preserve">11 位付費用戶</w:t>
      </w:r>
      <w:r>
        <w:t xml:space="preserve"> </w:t>
      </w:r>
      <w:r>
        <w:t xml:space="preserve">即覆蓋固定底盤——極低的存活門檻。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2.2 機構端訂閱（B2B，營收主軸）</w:t>
      </w:r>
    </w:p>
    <w:p>
      <w:pPr>
        <w:spacing w:line="360" w:before="120" w:after="120"/>
      </w:pPr>
      <w:r>
        <w:rPr>
          <w:b/>
          <w:bCs/>
        </w:rPr>
        <w:t xml:space="preserve">NT$3,000–5,000／月／機構</w:t>
      </w:r>
      <w:r>
        <w:t xml:space="preserve">（依個案量分級）。</w:t>
      </w:r>
      <w:r>
        <w:t xml:space="preserve"> </w:t>
      </w:r>
      <w:r>
        <w:t xml:space="preserve">定價錨：督導每月紙本比對與繕打若耗 20 小時 × 時薪 NT$250 = NT$5,000</w:t>
      </w:r>
      <w:r>
        <w:t xml:space="preserve"> </w:t>
      </w:r>
      <w:r>
        <w:t xml:space="preserve">——訂閱費 ≤ 省下的人力成本，採購決策無痛。OCR 用量成本（~NT$150/月）</w:t>
      </w:r>
      <w:r>
        <w:t xml:space="preserve"> </w:t>
      </w:r>
      <w:r>
        <w:t xml:space="preserve">內含，毛利仍 &gt;90%。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三、買斷制 vs 企業維護合約（SaaS）— 執行路徑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3.1 兩模式比較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面向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系統買斷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SaaS 訂閱＋維護合約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現金流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一次性大額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長期經常性（估值倍數高）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法規更新責任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交付日後歸買方（條款架構第 7 條）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歸我方（需常態維運能力）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個資責任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資料不隨轉，最乾淨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我方持續為處理者，責任長存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適合我方現況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✅ 學員團隊、無常態維運人力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需先建立維運體制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團隊未來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交付後自由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綁定維運</w:t>
            </w:r>
          </w:p>
        </w:tc>
      </w:tr>
    </w:tbl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3.2 建議策略：</w:t>
      </w:r>
      <w:r>
        <w:rPr>
          <w:b/>
          <w:bCs/>
          <w:color w:val="2E74B5"/>
          <w:sz w:val="26"/>
          <w:szCs w:val="26"/>
        </w:rPr>
        <w:t xml:space="preserve">買斷為主、混合模式為談判階梯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首選：買斷＋限時過渡支援</w:t>
      </w:r>
      <w:r>
        <w:t xml:space="preserve">（條款架構 v1 已備妥 12 條框架）。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談判階梯：買斷＋年度維護合約</w:t>
      </w:r>
      <w:r>
        <w:t xml:space="preserve">——業界慣例維護費為</w:t>
      </w:r>
      <w:r>
        <w:rPr>
          <w:b/>
          <w:bCs/>
        </w:rPr>
        <w:t xml:space="preserve">買斷價金之</w:t>
      </w:r>
      <w:r>
        <w:rPr>
          <w:b/>
          <w:bCs/>
        </w:rPr>
        <w:t xml:space="preserve"> </w:t>
      </w:r>
      <w:r>
        <w:rPr>
          <w:b/>
          <w:bCs/>
        </w:rPr>
        <w:t xml:space="preserve">15–20%／年</w:t>
      </w:r>
      <w:r>
        <w:t xml:space="preserve">（範圍限縮於：費率年度更新、安全修補、每年 N 小時支援；</w:t>
      </w:r>
      <w:r>
        <w:t xml:space="preserve"> </w:t>
      </w:r>
      <w:r>
        <w:t xml:space="preserve">排除新功能開發）。這讓買方安心、我方多一條年金，且範圍有界。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暫不建議：純 SaaS 自營</w:t>
      </w:r>
      <w:r>
        <w:t xml:space="preserve">——需要常態維運與客服人力，</w:t>
      </w:r>
      <w:r>
        <w:t xml:space="preserve"> </w:t>
      </w:r>
      <w:r>
        <w:t xml:space="preserve">與團隊現況（培訓專題、成員各有去向）不符；除非決賽後有成員</w:t>
      </w:r>
      <w:r>
        <w:t xml:space="preserve"> </w:t>
      </w:r>
      <w:r>
        <w:t xml:space="preserve">全職投入，屆時再以第一節成本模型重啟評估。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3.3 決賽簡報講法（30 秒版）</w:t>
      </w:r>
    </w:p>
    <w:p>
      <w:pPr>
        <w:spacing w:line="360" w:before="120" w:after="120"/>
      </w:pPr>
      <w:r>
        <w:t xml:space="preserve">「商業上我們設計了雙軌出口：對機構走訂閱（人力節省即定價錨），</w:t>
      </w:r>
      <w:r>
        <w:t xml:space="preserve"> </w:t>
      </w:r>
      <w:r>
        <w:t xml:space="preserve">對想整套擁有的企業走買斷——條款架構、交付資產清單、以測試套件為</w:t>
      </w:r>
      <w:r>
        <w:t xml:space="preserve"> </w:t>
      </w:r>
      <w:r>
        <w:t xml:space="preserve">驗收標準的機制都已備妥。系統的可轉移性本身，就是我們工程紀律的證明。」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四、產品藍圖（Roadmap）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v1.0（現在・決賽版）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三端飛輪｜官方核銷格式｜規則引擎四件組｜48+ 測試｜合規體系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↓ 決賽後 1–2 個月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v1.5（正式化）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真帳號體系（Supabase Auth）｜OCR vision 正式接線（欄位級準確率量測）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CI 自動化（測試＋lint 進 pipeline）｜RWD 全面硬化（UI 2.0 改版）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隱私文件補齊（PIA・去識別化架構・RBAC）→ 同時是買斷交易的賣相資產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↓ 2026 Q4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v2.0（變現）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Freemium 上線（金流・空間計量）｜多個案與家屬共編｜就醫摘要 PDF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AI 摘要分享機構（家屬同意制）｜機構試點 2–3 家（驗證工時節省數據）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↓ 2027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v3.0（生態）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醫院出院準備服務介接（出院銜接層定位落地）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CMS 推估引擎白牌 API（B2B 第二產品線）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真值資料回測：以「推估 vs 核定」實績校準引擎並公開準確率</w:t>
      </w:r>
    </w:p>
    <w:p>
      <w:pPr>
        <w:spacing w:line="360" w:before="120" w:after="120"/>
      </w:pPr>
      <w:r>
        <w:t xml:space="preserve">藍圖設計原則：每一版都讓「買斷交易的標的」更值錢——v1.5 的隱私文件</w:t>
      </w:r>
      <w:r>
        <w:t xml:space="preserve"> </w:t>
      </w:r>
      <w:r>
        <w:t xml:space="preserve">與 CI 直接強化條款架構的附件一與第 8 條驗收；v2.0 的機構試點數據</w:t>
      </w:r>
      <w:r>
        <w:t xml:space="preserve"> </w:t>
      </w:r>
      <w:r>
        <w:t xml:space="preserve">是 B2B 定價錨的實證；v3.0 的白牌 API 把單次交易升級為授權金模式。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2026-07-20T13:44:30.825Z</dcterms:created>
  <dcterms:modified xsi:type="dcterms:W3CDTF">2026-07-20T13:44:30.825Z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