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 xml:space="preserve">📝 </w:t>
      </w:r>
      <w:r>
        <w:rPr/>
        <w:t>Meeting RAG System – Comprehensive User Guide</w:t>
      </w:r>
    </w:p>
    <w:p>
      <w:pPr>
        <w:pStyle w:val="Normal"/>
        <w:pBdr>
          <w:left w:val="single" w:sz="12" w:space="200" w:color="BFBFBF"/>
        </w:pBdr>
        <w:spacing w:before="0" w:after="120"/>
        <w:ind w:start="300"/>
        <w:jc w:val="start"/>
        <w:rPr/>
      </w:pPr>
      <w:r>
        <w:rPr>
          <w:b/>
          <w:bCs/>
        </w:rPr>
        <w:t>Enterprise-grade AI assistant</w:t>
      </w:r>
      <w:r>
        <w:rPr/>
        <w:t xml:space="preserve"> for querying meeting transcripts using natural language.</w:t>
        <w:br/>
        <w:t>Combines semantic search (ChromaDB) + keyword search (Whoosh BM25) → feeds results to Groq LLM → delivers cited answers via FastAPI + React.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What This System Does</w:t>
      </w:r>
    </w:p>
    <w:p>
      <w:pPr>
        <w:pStyle w:val="Normal"/>
        <w:spacing w:before="0" w:after="120"/>
        <w:jc w:val="start"/>
        <w:rPr/>
      </w:pPr>
      <w:r>
        <w:rPr/>
        <w:t xml:space="preserve">You give it a folder of meeting transcripts (JSON format). You ask questions in plain English. It returns </w:t>
      </w:r>
      <w:r>
        <w:rPr>
          <w:b/>
          <w:bCs/>
        </w:rPr>
        <w:t>accurate, source-cited answers</w:t>
      </w:r>
      <w:r>
        <w:rPr/>
        <w:t xml:space="preserve"> drawn directly from the transcripts – no hallucination, no guessing.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Example:</w:t>
      </w:r>
      <w:r>
        <w:rPr/>
        <w:t xml:space="preserve">  </w:t>
      </w:r>
    </w:p>
    <w:p>
      <w:pPr>
        <w:pStyle w:val="Normal"/>
        <w:pBdr>
          <w:left w:val="single" w:sz="12" w:space="200" w:color="BFBFBF"/>
        </w:pBdr>
        <w:spacing w:before="0" w:after="120"/>
        <w:ind w:start="300"/>
        <w:jc w:val="start"/>
        <w:rPr/>
      </w:pPr>
      <w:r>
        <w:rPr>
          <w:i/>
          <w:iCs/>
        </w:rPr>
        <w:t>“</w:t>
      </w:r>
      <w:r>
        <w:rPr>
          <w:i/>
          <w:iCs/>
        </w:rPr>
        <w:t>What did Sarah say about the Q3 budget?”</w:t>
      </w:r>
      <w:r>
        <w:rPr/>
        <w:br/>
        <w:t xml:space="preserve">→ System finds the exact line where Sarah spoke, shows the timestamp, and answers with a citation like </w:t>
      </w:r>
      <w:r>
        <w:rPr>
          <w:rFonts w:eastAsia="Courier New" w:cs="Courier New" w:ascii="Courier New" w:hAnsi="Courier New"/>
          <w:shd w:fill="F1F5F9" w:val="clear"/>
        </w:rPr>
        <w:t>[1]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Important Features (The Highlights)</w:t>
      </w:r>
    </w:p>
    <w:p>
      <w:pPr>
        <w:pStyle w:val="Heading3"/>
        <w:spacing w:before="0" w:after="200"/>
        <w:jc w:val="start"/>
        <w:rPr/>
      </w:pPr>
      <w:r>
        <w:rPr/>
        <w:t>1. Hybrid Retrieval – Best of Both Worlds</w:t>
      </w:r>
    </w:p>
    <w:p>
      <w:pPr>
        <w:pStyle w:val="Normal"/>
        <w:spacing w:before="0" w:after="120"/>
        <w:jc w:val="start"/>
        <w:rPr/>
      </w:pPr>
      <w:r>
        <w:rPr/>
        <w:t xml:space="preserve">Most RAG systems use </w:t>
      </w:r>
      <w:r>
        <w:rPr>
          <w:b/>
          <w:bCs/>
        </w:rPr>
        <w:t>only semantic search</w:t>
      </w:r>
      <w:r>
        <w:rPr/>
        <w:t xml:space="preserve"> (embeddings). That fails on exact names, IDs, or codes.</w:t>
        <w:br/>
        <w:t xml:space="preserve">This system uses </w:t>
      </w:r>
      <w:r>
        <w:rPr>
          <w:b/>
          <w:bCs/>
        </w:rPr>
        <w:t>both</w:t>
      </w:r>
      <w:r>
        <w:rPr/>
        <w:t>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>
          <w:b/>
          <w:bCs/>
        </w:rPr>
        <w:t>BM25 (Whoosh)</w:t>
      </w:r>
      <w:r>
        <w:rPr/>
        <w:t xml:space="preserve"> – keyword search, perfect for “meeting ID 5432” or “John’s quote”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Semantic (ChromaDB)</w:t>
      </w:r>
      <w:r>
        <w:rPr/>
        <w:t xml:space="preserve"> – understands meaning, perfect for “what were the main arguments?”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They are combined using </w:t>
      </w:r>
      <w:r>
        <w:rPr>
          <w:b/>
          <w:bCs/>
        </w:rPr>
        <w:t>Reciprocal Rank Fusion (RRF)</w:t>
      </w:r>
      <w:r>
        <w:rPr/>
        <w:t>.</w:t>
        <w:br/>
        <w:t xml:space="preserve">You can adjust the balance: 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Default: </w:t>
      </w:r>
      <w:r>
        <w:rPr>
          <w:rFonts w:eastAsia="Courier New" w:cs="Courier New" w:ascii="Courier New" w:hAnsi="Courier New"/>
          <w:shd w:fill="F1F5F9" w:val="clear"/>
        </w:rPr>
        <w:t>70% semantic + 30% keyword</w:t>
      </w:r>
      <w:r>
        <w:rPr/>
        <w:t xml:space="preserve"> 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For code-heavy transcripts, increase keyword weight up to 50–70%.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2. Intent Classification – Smart Routing</w:t>
      </w:r>
    </w:p>
    <w:p>
      <w:pPr>
        <w:pStyle w:val="Normal"/>
        <w:spacing w:before="0" w:after="120"/>
        <w:jc w:val="start"/>
        <w:rPr/>
      </w:pPr>
      <w:r>
        <w:rPr/>
        <w:t>Not every user message needs the heavy RAG pipeline. The system first classifies your query into one of four intents: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71"/>
        <w:gridCol w:w="3552"/>
        <w:gridCol w:w="3403"/>
      </w:tblGrid>
      <w:tr>
        <w:trPr>
          <w:tblHeader w:val="true"/>
        </w:trPr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Intent</w:t>
            </w:r>
          </w:p>
        </w:tc>
        <w:tc>
          <w:tcPr>
            <w:tcW w:w="3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Example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Action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greeting</w:t>
            </w:r>
          </w:p>
        </w:tc>
        <w:tc>
          <w:tcPr>
            <w:tcW w:w="3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Hello”, “Hi there”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Returns a friendly welcome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identity</w:t>
            </w:r>
          </w:p>
        </w:tc>
        <w:tc>
          <w:tcPr>
            <w:tcW w:w="3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What are you?”, “Who made you?”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Describes the system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off_topic</w:t>
            </w:r>
          </w:p>
        </w:tc>
        <w:tc>
          <w:tcPr>
            <w:tcW w:w="3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What’s the weather?”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Polite redirect back to meetings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meeting</w:t>
            </w:r>
          </w:p>
        </w:tc>
        <w:tc>
          <w:tcPr>
            <w:tcW w:w="3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What decisions were made?”</w:t>
            </w:r>
          </w:p>
        </w:tc>
        <w:tc>
          <w:tcPr>
            <w:tcW w:w="3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Runs the full RAG pipeline</w:t>
            </w:r>
          </w:p>
        </w:tc>
      </w:tr>
    </w:tbl>
    <w:p>
      <w:pPr>
        <w:pStyle w:val="Normal"/>
        <w:spacing w:before="240" w:after="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This saves </w:t>
      </w:r>
      <w:r>
        <w:rPr>
          <w:b/>
          <w:bCs/>
        </w:rPr>
        <w:t>LLM tokens</w:t>
      </w:r>
      <w:r>
        <w:rPr/>
        <w:t xml:space="preserve"> (cost) and </w:t>
      </w:r>
      <w:r>
        <w:rPr>
          <w:b/>
          <w:bCs/>
        </w:rPr>
        <w:t>latency</w:t>
      </w:r>
      <w:r>
        <w:rPr/>
        <w:t xml:space="preserve"> for trivial questions.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3. Dynamic k – Right Amount of Context</w:t>
      </w:r>
    </w:p>
    <w:p>
      <w:pPr>
        <w:pStyle w:val="Normal"/>
        <w:spacing w:before="0" w:after="120"/>
        <w:jc w:val="start"/>
        <w:rPr/>
      </w:pPr>
      <w:r>
        <w:rPr/>
        <w:t xml:space="preserve">Instead of always fetching the same number of documents (e.g., 5), the system adjusts </w:t>
      </w:r>
      <w:r>
        <w:rPr>
          <w:rFonts w:eastAsia="Courier New" w:cs="Courier New" w:ascii="Courier New" w:hAnsi="Courier New"/>
          <w:shd w:fill="F1F5F9" w:val="clear"/>
        </w:rPr>
        <w:t>k</w:t>
      </w:r>
      <w:r>
        <w:rPr/>
        <w:t xml:space="preserve"> based on the question type: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31"/>
        <w:gridCol w:w="1104"/>
        <w:gridCol w:w="4791"/>
      </w:tblGrid>
      <w:tr>
        <w:trPr>
          <w:tblHeader w:val="true"/>
        </w:trPr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k</w:t>
            </w:r>
          </w:p>
        </w:tc>
        <w:tc>
          <w:tcPr>
            <w:tcW w:w="4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Example</w:t>
            </w:r>
          </w:p>
        </w:tc>
      </w:tr>
      <w:tr>
        <w:trPr/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Summary / overview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10</w:t>
            </w:r>
          </w:p>
        </w:tc>
        <w:tc>
          <w:tcPr>
            <w:tcW w:w="4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Summarise the whole meeting”</w:t>
            </w:r>
          </w:p>
        </w:tc>
      </w:tr>
      <w:tr>
        <w:trPr/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Analytical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8</w:t>
            </w:r>
          </w:p>
        </w:tc>
        <w:tc>
          <w:tcPr>
            <w:tcW w:w="4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Compare the arguments for and against”</w:t>
            </w:r>
          </w:p>
        </w:tc>
      </w:tr>
      <w:tr>
        <w:trPr/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Factual / specific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4</w:t>
            </w:r>
          </w:p>
        </w:tc>
        <w:tc>
          <w:tcPr>
            <w:tcW w:w="4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“</w:t>
            </w:r>
            <w:r>
              <w:rPr/>
              <w:t>Who said the project is delayed?”</w:t>
            </w:r>
          </w:p>
        </w:tc>
      </w:tr>
      <w:tr>
        <w:trPr/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General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6</w:t>
            </w:r>
          </w:p>
        </w:tc>
        <w:tc>
          <w:tcPr>
            <w:tcW w:w="4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(default)</w:t>
            </w:r>
          </w:p>
        </w:tc>
      </w:tr>
    </w:tbl>
    <w:p>
      <w:pPr>
        <w:pStyle w:val="Normal"/>
        <w:spacing w:before="240" w:after="0"/>
        <w:rPr/>
      </w:pPr>
      <w:r>
        <w:rPr/>
        <w:t xml:space="preserve"> </w:t>
      </w:r>
    </w:p>
    <w:p>
      <w:pPr>
        <w:pStyle w:val="Normal"/>
        <w:pBdr>
          <w:left w:val="single" w:sz="12" w:space="200" w:color="BFBFBF"/>
        </w:pBdr>
        <w:spacing w:before="0" w:after="120"/>
        <w:ind w:start="300"/>
        <w:jc w:val="start"/>
        <w:rPr/>
      </w:pPr>
      <w:r>
        <w:rPr/>
        <w:t>This prevents wasting the LLM’s context window on simple queries while ensuring complex questions get enough information.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4. Disk-Cached Whoosh Index – Fast Restarts</w:t>
      </w:r>
    </w:p>
    <w:p>
      <w:pPr>
        <w:pStyle w:val="Normal"/>
        <w:spacing w:before="0" w:after="120"/>
        <w:jc w:val="start"/>
        <w:rPr/>
      </w:pPr>
      <w:r>
        <w:rPr/>
        <w:t>Building a keyword index from scratch every time you restart is slow (minutes for large corpora).</w:t>
        <w:br/>
        <w:t>The system saves the Whoosh BM25 index to disk (</w:t>
      </w:r>
      <w:r>
        <w:rPr>
          <w:rFonts w:eastAsia="Courier New" w:cs="Courier New" w:ascii="Courier New" w:hAnsi="Courier New"/>
          <w:shd w:fill="F1F5F9" w:val="clear"/>
        </w:rPr>
        <w:t>whoosh_cache/</w:t>
      </w:r>
      <w:r>
        <w:rPr/>
        <w:t>) after the first build.</w:t>
        <w:br/>
        <w:t xml:space="preserve">All future restarts load from disk – </w:t>
      </w:r>
      <w:r>
        <w:rPr>
          <w:b/>
          <w:bCs/>
        </w:rPr>
        <w:t>startup takes seconds</w:t>
      </w:r>
      <w:r>
        <w:rPr/>
        <w:t>, not minutes.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5. Numbered Citations – Auditable Answers</w:t>
      </w:r>
    </w:p>
    <w:p>
      <w:pPr>
        <w:pStyle w:val="Normal"/>
        <w:spacing w:before="0" w:after="120"/>
        <w:jc w:val="start"/>
        <w:rPr/>
      </w:pPr>
      <w:r>
        <w:rPr/>
        <w:t xml:space="preserve">Every retrieved chunk is prefixed with </w:t>
      </w:r>
      <w:r>
        <w:rPr>
          <w:rFonts w:eastAsia="Courier New" w:cs="Courier New" w:ascii="Courier New" w:hAnsi="Courier New"/>
          <w:shd w:fill="F1F5F9" w:val="clear"/>
        </w:rPr>
        <w:t>[1]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[2]</w:t>
      </w:r>
      <w:r>
        <w:rPr/>
        <w:t xml:space="preserve">, etc. The LLM is instructed to </w:t>
      </w:r>
      <w:r>
        <w:rPr>
          <w:b/>
          <w:bCs/>
        </w:rPr>
        <w:t>reference these numbers</w:t>
      </w:r>
      <w:r>
        <w:rPr/>
        <w:t xml:space="preserve"> in its answer.</w:t>
        <w:br/>
        <w:t xml:space="preserve">The API response includes a </w:t>
      </w:r>
      <w:r>
        <w:rPr>
          <w:rFonts w:eastAsia="Courier New" w:cs="Courier New" w:ascii="Courier New" w:hAnsi="Courier New"/>
          <w:shd w:fill="F1F5F9" w:val="clear"/>
        </w:rPr>
        <w:t>sources</w:t>
      </w:r>
      <w:r>
        <w:rPr/>
        <w:t xml:space="preserve"> array with: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Speaker name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Timestamp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Source file name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Meeting topic / ID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You can </w:t>
      </w:r>
      <w:r>
        <w:rPr>
          <w:b/>
          <w:bCs/>
        </w:rPr>
        <w:t>trace every claim back to the original transcript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 xml:space="preserve">6. </w:t>
      </w:r>
      <w:r>
        <w:rPr>
          <w:rFonts w:eastAsia="Courier New" w:cs="Courier New" w:ascii="Courier New" w:hAnsi="Courier New"/>
          <w:shd w:fill="F1F5F9" w:val="clear"/>
        </w:rPr>
        <w:t>/meeting</w:t>
      </w:r>
      <w:r>
        <w:rPr/>
        <w:t xml:space="preserve"> Prefix – Escape Hatch</w:t>
      </w:r>
    </w:p>
    <w:p>
      <w:pPr>
        <w:pStyle w:val="Normal"/>
        <w:spacing w:before="0" w:after="120"/>
        <w:jc w:val="start"/>
        <w:rPr/>
      </w:pPr>
      <w:r>
        <w:rPr/>
        <w:t xml:space="preserve">Intent classifiers are good but not perfect. If the system ever misclassifies a legitimate meeting question (e.g., “who am I in this project?” → marked as </w:t>
      </w:r>
      <w:r>
        <w:rPr>
          <w:rFonts w:eastAsia="Courier New" w:cs="Courier New" w:ascii="Courier New" w:hAnsi="Courier New"/>
          <w:shd w:fill="F1F5F9" w:val="clear"/>
        </w:rPr>
        <w:t>identity</w:t>
      </w:r>
      <w:r>
        <w:rPr/>
        <w:t xml:space="preserve">), you can </w:t>
      </w:r>
      <w:r>
        <w:rPr>
          <w:b/>
          <w:bCs/>
        </w:rPr>
        <w:t>force RAG</w:t>
      </w:r>
      <w:r>
        <w:rPr/>
        <w:t xml:space="preserve"> by simply starting your question with </w:t>
      </w:r>
      <w:r>
        <w:rPr>
          <w:rFonts w:eastAsia="Courier New" w:cs="Courier New" w:ascii="Courier New" w:hAnsi="Courier New"/>
          <w:shd w:fill="F1F5F9" w:val="clear"/>
        </w:rPr>
        <w:t>/meeting</w:t>
      </w:r>
      <w:r>
        <w:rPr/>
        <w:t>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/meeting Who am I in this project?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The prefix is stripped and the query goes straight to the retrieval pipeline – bypassing intent classification.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7. LangGraph Orchestration – Future-Proof</w:t>
      </w:r>
    </w:p>
    <w:p>
      <w:pPr>
        <w:pStyle w:val="Normal"/>
        <w:spacing w:before="0" w:after="120"/>
        <w:jc w:val="start"/>
        <w:rPr/>
      </w:pPr>
      <w:r>
        <w:rPr/>
        <w:t xml:space="preserve">The pipeline is built as a </w:t>
      </w:r>
      <w:r>
        <w:rPr>
          <w:b/>
          <w:bCs/>
        </w:rPr>
        <w:t>LangGraph state machine</w:t>
      </w:r>
      <w:r>
        <w:rPr/>
        <w:t>.</w:t>
        <w:br/>
        <w:t xml:space="preserve">Right now it does: </w:t>
      </w:r>
      <w:r>
        <w:rPr>
          <w:rFonts w:eastAsia="Courier New" w:cs="Courier New" w:ascii="Courier New" w:hAnsi="Courier New"/>
          <w:shd w:fill="F1F5F9" w:val="clear"/>
        </w:rPr>
        <w:t>classify → route → RAG</w:t>
      </w:r>
      <w:r>
        <w:rPr/>
        <w:t>.</w:t>
        <w:br/>
        <w:t>But because it’s a graph, you can easily add new nodes later without rewriting everything: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Multi-meeting summarisation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Follow-up detection (“tell me more about X”)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Citation verification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Routing to different vector stores (by meeting ID)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System Architecture (Simple View)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User (React UI or Streamlit)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▼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FastAPI Backend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├── Intent Classifier (BART-MNLI)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▼ (if meeting-related)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RAG Engine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├── Hybrid Retriever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│     ├── Whoosh (keyword)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│     └── ChromaDB (semantic)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     └── Groq LLM (qwen3-32b)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└── JSON response (answer + sources)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/>
        <w:t xml:space="preserve">All components can run </w:t>
      </w:r>
      <w:r>
        <w:rPr>
          <w:b/>
          <w:bCs/>
        </w:rPr>
        <w:t>locally</w:t>
      </w:r>
      <w:r>
        <w:rPr/>
        <w:t xml:space="preserve"> or inside </w:t>
      </w:r>
      <w:r>
        <w:rPr>
          <w:b/>
          <w:bCs/>
        </w:rPr>
        <w:t>Docker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-568325</wp:posOffset>
            </wp:positionH>
            <wp:positionV relativeFrom="paragraph">
              <wp:posOffset>635</wp:posOffset>
            </wp:positionV>
            <wp:extent cx="6938010" cy="61296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010" cy="612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Setup – Step by Step</w:t>
      </w:r>
    </w:p>
    <w:p>
      <w:pPr>
        <w:pStyle w:val="Heading3"/>
        <w:spacing w:before="0" w:after="200"/>
        <w:jc w:val="start"/>
        <w:rPr/>
      </w:pPr>
      <w:r>
        <w:rPr/>
        <w:t>Prerequisites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Python 3.11+ and Node 20+ </w:t>
      </w:r>
      <w:r>
        <w:rPr>
          <w:b/>
          <w:bCs/>
        </w:rPr>
        <w:t>or</w:t>
      </w:r>
      <w:r>
        <w:rPr/>
        <w:t xml:space="preserve"> Docker + Docker Compose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A </w:t>
      </w:r>
      <w:r>
        <w:rPr>
          <w:b/>
          <w:bCs/>
        </w:rPr>
        <w:t>Groq API key</w:t>
      </w:r>
      <w:r>
        <w:rPr/>
        <w:t xml:space="preserve"> (free at </w:t>
      </w:r>
      <w:r>
        <w:rPr>
          <w:color w:val="0563C1"/>
          <w:u w:val="single"/>
        </w:rPr>
        <w:t>console.groq.com</w:t>
      </w:r>
      <w:r>
        <w:rPr/>
        <w:t>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Your meeting transcripts (JSON) inside </w:t>
      </w:r>
      <w:r>
        <w:rPr>
          <w:rFonts w:eastAsia="Courier New" w:cs="Courier New" w:ascii="Courier New" w:hAnsi="Courier New"/>
          <w:shd w:fill="F1F5F9" w:val="clear"/>
        </w:rPr>
        <w:t>./data/json_chunks/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1. Clone &amp; Install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git clone &lt;your-repo&gt;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cd meeting-rag-system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2. Set Environment Variables</w:t>
      </w:r>
    </w:p>
    <w:p>
      <w:pPr>
        <w:pStyle w:val="Normal"/>
        <w:spacing w:before="0" w:after="120"/>
        <w:jc w:val="start"/>
        <w:rPr/>
      </w:pPr>
      <w:r>
        <w:rPr/>
        <w:t>Copy the example file and add your Groq API key: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cp .env.example .env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Edit .env – add GROQ_API_KEY=your_key_here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3. Build the Vector Store (once)</w:t>
      </w:r>
    </w:p>
    <w:p>
      <w:pPr>
        <w:pStyle w:val="Normal"/>
        <w:spacing w:before="0" w:after="120"/>
        <w:jc w:val="start"/>
        <w:rPr/>
      </w:pPr>
      <w:r>
        <w:rPr/>
        <w:t>This reads all JSON transcripts, chunks them, creates embeddings, and builds the keyword index.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pip install -r requirements.txt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python create_vector_store.py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left w:val="single" w:sz="12" w:space="200" w:color="BFBFBF"/>
        </w:pBdr>
        <w:spacing w:before="0" w:after="120"/>
        <w:ind w:start="300"/>
        <w:jc w:val="start"/>
        <w:rPr/>
      </w:pPr>
      <w:r>
        <w:rPr/>
        <w:t>This may take a few minutes depending on the size of your transcripts. Done once.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4. Run the System</w:t>
      </w:r>
    </w:p>
    <w:p>
      <w:pPr>
        <w:pStyle w:val="Heading4"/>
        <w:spacing w:before="0" w:after="200"/>
        <w:jc w:val="start"/>
        <w:rPr/>
      </w:pPr>
      <w:r>
        <w:rPr/>
        <w:t>Option A – Docker (easiest)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docker compose up --build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React UI: </w:t>
      </w:r>
      <w:r>
        <w:rPr>
          <w:color w:val="0563C1"/>
          <w:u w:val="single"/>
        </w:rPr>
        <w:t>http://localhost:3000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FastAPI docs: </w:t>
      </w:r>
      <w:r>
        <w:rPr>
          <w:color w:val="0563C1"/>
          <w:u w:val="single"/>
        </w:rPr>
        <w:t>http://localhost:8000/docs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/>
        <w:t>Option B – Local (development)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Terminal 1 – Backend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uvicorn main:app --reload --port 8000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Terminal 2 – Frontend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cd frontend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run dev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Using the API</w:t>
      </w:r>
    </w:p>
    <w:p>
      <w:pPr>
        <w:pStyle w:val="Heading3"/>
        <w:spacing w:before="0" w:after="200"/>
        <w:jc w:val="start"/>
        <w:rPr/>
      </w:pPr>
      <w:r>
        <w:rPr/>
        <w:t xml:space="preserve">POST </w:t>
      </w:r>
      <w:r>
        <w:rPr>
          <w:rFonts w:eastAsia="Courier New" w:cs="Courier New" w:ascii="Courier New" w:hAnsi="Courier New"/>
          <w:shd w:fill="F1F5F9" w:val="clear"/>
        </w:rPr>
        <w:t>/query</w:t>
      </w:r>
      <w:r>
        <w:rPr/>
        <w:t xml:space="preserve"> – Ask a question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Request body: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"question": "What decisions were made about the budget?",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"chat_history": [],           // optional, for multi-turn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"hybrid": true,               // true = BM25 + semantic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"bm25_weight": 0.3            // 0 = pure semantic, 1 = pure keyword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Response: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"answer": "According to [1], the budget was increased by 15%.",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"sources": [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"speaker": "Alice",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"timestamp_str": "12:34",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"source_file": "meeting_001.json",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"topic": "Budget Review",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"meeting_id": "mtg-2024-001"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]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 xml:space="preserve">GET </w:t>
      </w:r>
      <w:r>
        <w:rPr>
          <w:rFonts w:eastAsia="Courier New" w:cs="Courier New" w:ascii="Courier New" w:hAnsi="Courier New"/>
          <w:shd w:fill="F1F5F9" w:val="clear"/>
        </w:rPr>
        <w:t>/health</w:t>
      </w:r>
      <w:r>
        <w:rPr/>
        <w:t xml:space="preserve"> – Check status</w:t>
      </w:r>
    </w:p>
    <w:p>
      <w:pPr>
        <w:pStyle w:val="Normal"/>
        <w:spacing w:before="0" w:after="120"/>
        <w:jc w:val="start"/>
        <w:rPr/>
      </w:pPr>
      <w:r>
        <w:rPr/>
        <w:t xml:space="preserve">Returns </w:t>
      </w:r>
      <w:r>
        <w:rPr>
          <w:rFonts w:eastAsia="Courier New" w:cs="Courier New" w:ascii="Courier New" w:hAnsi="Courier New"/>
          <w:shd w:fill="F1F5F9" w:val="clear"/>
        </w:rPr>
        <w:t>{"status": "ok"}</w:t>
      </w:r>
      <w:r>
        <w:rPr/>
        <w:t xml:space="preserve"> – used by Docker health checks.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Configuration Reference</w:t>
      </w:r>
    </w:p>
    <w:p>
      <w:pPr>
        <w:pStyle w:val="Normal"/>
        <w:spacing w:before="0" w:after="120"/>
        <w:jc w:val="start"/>
        <w:rPr/>
      </w:pPr>
      <w:r>
        <w:rPr/>
        <w:t xml:space="preserve">All settings are in a </w:t>
      </w:r>
      <w:r>
        <w:rPr>
          <w:rFonts w:eastAsia="Courier New" w:cs="Courier New" w:ascii="Courier New" w:hAnsi="Courier New"/>
          <w:shd w:fill="F1F5F9" w:val="clear"/>
        </w:rPr>
        <w:t>.env</w:t>
      </w:r>
      <w:r>
        <w:rPr/>
        <w:t xml:space="preserve"> file at the project root: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74"/>
        <w:gridCol w:w="2911"/>
        <w:gridCol w:w="3641"/>
      </w:tblGrid>
      <w:tr>
        <w:trPr>
          <w:tblHeader w:val="true"/>
        </w:trPr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Variable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Default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What it does</w:t>
            </w:r>
          </w:p>
        </w:tc>
      </w:tr>
      <w:tr>
        <w:trPr/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GROQ_API_KEY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i/>
                <w:iCs/>
              </w:rPr>
              <w:t>(required)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Your Groq API key</w:t>
            </w:r>
          </w:p>
        </w:tc>
      </w:tr>
      <w:tr>
        <w:trPr/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GROQ_MODEL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qwen/qwen3-32b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Which Groq model to use</w:t>
            </w:r>
          </w:p>
        </w:tc>
      </w:tr>
      <w:tr>
        <w:trPr/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EMBEDDING_MODEL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all-MiniLM-L6-v2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HuggingFace sentence transformer</w:t>
            </w:r>
          </w:p>
        </w:tc>
      </w:tr>
      <w:tr>
        <w:trPr/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JSON_DIR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./data/json_chunks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Folder containing your JSON transcripts</w:t>
            </w:r>
          </w:p>
        </w:tc>
      </w:tr>
      <w:tr>
        <w:trPr/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VECTOR_DB_DIR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./meetingbank_vector_db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Where ChromaDB persists vectors</w:t>
            </w:r>
          </w:p>
        </w:tc>
      </w:tr>
      <w:tr>
        <w:trPr/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WHOOSH_DIR</w:t>
            </w:r>
          </w:p>
        </w:tc>
        <w:tc>
          <w:tcPr>
            <w:tcW w:w="2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./whoosh_cache</w:t>
            </w:r>
          </w:p>
        </w:tc>
        <w:tc>
          <w:tcPr>
            <w:tcW w:w="3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Where Whoosh stores the keyword index</w:t>
            </w:r>
          </w:p>
        </w:tc>
      </w:tr>
    </w:tbl>
    <w:p>
      <w:pPr>
        <w:pStyle w:val="Normal"/>
        <w:spacing w:before="240" w:after="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Frontend (React) uses </w:t>
      </w:r>
      <w:r>
        <w:rPr>
          <w:rFonts w:eastAsia="Courier New" w:cs="Courier New" w:ascii="Courier New" w:hAnsi="Courier New"/>
          <w:shd w:fill="F1F5F9" w:val="clear"/>
        </w:rPr>
        <w:t>frontend/.env</w:t>
      </w:r>
      <w:r>
        <w:rPr/>
        <w:t>: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VITE_API_TARGET=http://localhost:8000   # or http://fastapi:8000 in Docker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Why These Design Decisions?</w:t>
      </w:r>
    </w:p>
    <w:p>
      <w:pPr>
        <w:pStyle w:val="Normal"/>
        <w:spacing w:before="0" w:after="240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34"/>
        <w:gridCol w:w="6292"/>
      </w:tblGrid>
      <w:tr>
        <w:trPr>
          <w:tblHeader w:val="true"/>
        </w:trPr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Decision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Why it matters</w:t>
            </w:r>
          </w:p>
        </w:tc>
      </w:tr>
      <w:tr>
        <w:trPr/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Hybrid retrieval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Pure semantic search misses exact terms (names, IDs). BM25 catches them. RRF combines both without needing score normalisation.</w:t>
            </w:r>
          </w:p>
        </w:tc>
      </w:tr>
      <w:tr>
        <w:trPr/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Whoosh over rank-bm25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 xml:space="preserve">Whoosh persists to disk → instant restarts.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rank-bm25</w:t>
            </w:r>
            <w:r>
              <w:rPr/>
              <w:t xml:space="preserve"> re-indexes in memory every time → slow for large corpora.</w:t>
            </w:r>
          </w:p>
        </w:tc>
      </w:tr>
      <w:tr>
        <w:trPr/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Dynamic k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 xml:space="preserve">Fixed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k</w:t>
            </w:r>
            <w:r>
              <w:rPr/>
              <w:t xml:space="preserve"> wastes tokens on simple queries and under-retrieves for summaries. Dynamic k gives exactly the right amount of context.</w:t>
            </w:r>
          </w:p>
        </w:tc>
      </w:tr>
      <w:tr>
        <w:trPr/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BART-MNLI for intent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 xml:space="preserve">Zero-shot classification – no training data needed. Fast on CPU. Fallback defaults to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meeting</w:t>
            </w:r>
            <w:r>
              <w:rPr/>
              <w:t xml:space="preserve"> so no query is ever dropped.</w:t>
            </w:r>
          </w:p>
        </w:tc>
      </w:tr>
      <w:tr>
        <w:trPr/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LangGraph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Adding new features (follow-ups, multi-meeting, verification) becomes a matter of adding new nodes, not rewriting the pipeline.</w:t>
            </w:r>
          </w:p>
        </w:tc>
      </w:tr>
      <w:tr>
        <w:trPr/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/meeting prefix</w:t>
            </w:r>
          </w:p>
        </w:tc>
        <w:tc>
          <w:tcPr>
            <w:tcW w:w="6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Intent classifiers can misfire. This is a user</w:t>
              <w:noBreakHyphen/>
              <w:t>controlled escape hatch that forces RAG without changing any configuration.</w:t>
            </w:r>
          </w:p>
        </w:tc>
      </w:tr>
    </w:tbl>
    <w:p>
      <w:pPr>
        <w:pStyle w:val="Normal"/>
        <w:spacing w:before="240" w:after="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Common Questions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Q: Can I use this with other LLMs?</w:t>
      </w:r>
      <w:r>
        <w:rPr/>
        <w:br/>
        <w:t xml:space="preserve">A: The system is built for Groq, but you can replace the model in </w:t>
      </w:r>
      <w:r>
        <w:rPr>
          <w:rFonts w:eastAsia="Courier New" w:cs="Courier New" w:ascii="Courier New" w:hAnsi="Courier New"/>
          <w:shd w:fill="F1F5F9" w:val="clear"/>
        </w:rPr>
        <w:t>.env</w:t>
      </w:r>
      <w:r>
        <w:rPr/>
        <w:t xml:space="preserve"> with any Groq</w:t>
        <w:noBreakHyphen/>
        <w:t xml:space="preserve">supported model (e.g., </w:t>
      </w:r>
      <w:r>
        <w:rPr>
          <w:rFonts w:eastAsia="Courier New" w:cs="Courier New" w:ascii="Courier New" w:hAnsi="Courier New"/>
          <w:shd w:fill="F1F5F9" w:val="clear"/>
        </w:rPr>
        <w:t>llama3-70b</w:t>
      </w:r>
      <w:r>
        <w:rPr/>
        <w:t>). For non</w:t>
        <w:noBreakHyphen/>
        <w:t xml:space="preserve">Groq, you’d need to modify </w:t>
      </w:r>
      <w:r>
        <w:rPr>
          <w:rFonts w:eastAsia="Courier New" w:cs="Courier New" w:ascii="Courier New" w:hAnsi="Courier New"/>
          <w:shd w:fill="F1F5F9" w:val="clear"/>
        </w:rPr>
        <w:t>qa_chain.py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Q: How do I prepare my meeting transcripts?</w:t>
      </w:r>
      <w:r>
        <w:rPr/>
        <w:br/>
        <w:t xml:space="preserve">A: The system expects JSON files in </w:t>
      </w:r>
      <w:r>
        <w:rPr>
          <w:rFonts w:eastAsia="Courier New" w:cs="Courier New" w:ascii="Courier New" w:hAnsi="Courier New"/>
          <w:shd w:fill="F1F5F9" w:val="clear"/>
        </w:rPr>
        <w:t>JSON_DIR</w:t>
      </w:r>
      <w:r>
        <w:rPr/>
        <w:t xml:space="preserve">. Each file should contain a list of transcripts with fields like </w:t>
      </w:r>
      <w:r>
        <w:rPr>
          <w:rFonts w:eastAsia="Courier New" w:cs="Courier New" w:ascii="Courier New" w:hAnsi="Courier New"/>
          <w:shd w:fill="F1F5F9" w:val="clear"/>
        </w:rPr>
        <w:t>speaker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timestamp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text</w:t>
      </w:r>
      <w:r>
        <w:rPr/>
        <w:t>, and metadata (</w:t>
      </w:r>
      <w:r>
        <w:rPr>
          <w:rFonts w:eastAsia="Courier New" w:cs="Courier New" w:ascii="Courier New" w:hAnsi="Courier New"/>
          <w:shd w:fill="F1F5F9" w:val="clear"/>
        </w:rPr>
        <w:t>topic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meeting_id</w:t>
      </w:r>
      <w:r>
        <w:rPr/>
        <w:t xml:space="preserve">). See </w:t>
      </w:r>
      <w:r>
        <w:rPr>
          <w:rFonts w:eastAsia="Courier New" w:cs="Courier New" w:ascii="Courier New" w:hAnsi="Courier New"/>
          <w:shd w:fill="F1F5F9" w:val="clear"/>
        </w:rPr>
        <w:t>vector_store.py</w:t>
      </w:r>
      <w:r>
        <w:rPr/>
        <w:t xml:space="preserve"> for the exact format.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Q: Does it support multi</w:t>
        <w:noBreakHyphen/>
        <w:t>turn conversations?</w:t>
      </w:r>
      <w:r>
        <w:rPr/>
        <w:br/>
        <w:t xml:space="preserve">A: Yes – the API accepts </w:t>
      </w:r>
      <w:r>
        <w:rPr>
          <w:rFonts w:eastAsia="Courier New" w:cs="Courier New" w:ascii="Courier New" w:hAnsi="Courier New"/>
          <w:shd w:fill="F1F5F9" w:val="clear"/>
        </w:rPr>
        <w:t>chat_history</w:t>
      </w:r>
      <w:r>
        <w:rPr/>
        <w:t>. The LLM receives the full conversation context.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Q: What if I only want semantic search (no BM25)?</w:t>
      </w:r>
      <w:r>
        <w:rPr/>
        <w:br/>
        <w:t xml:space="preserve">A: Set </w:t>
      </w:r>
      <w:r>
        <w:rPr>
          <w:rFonts w:eastAsia="Courier New" w:cs="Courier New" w:ascii="Courier New" w:hAnsi="Courier New"/>
          <w:shd w:fill="F1F5F9" w:val="clear"/>
        </w:rPr>
        <w:t>hybrid=false</w:t>
      </w:r>
      <w:r>
        <w:rPr/>
        <w:t xml:space="preserve"> in the query body, or set </w:t>
      </w:r>
      <w:r>
        <w:rPr>
          <w:rFonts w:eastAsia="Courier New" w:cs="Courier New" w:ascii="Courier New" w:hAnsi="Courier New"/>
          <w:shd w:fill="F1F5F9" w:val="clear"/>
        </w:rPr>
        <w:t>bm25_weight=0</w:t>
      </w:r>
      <w:r>
        <w:rPr/>
        <w:t xml:space="preserve"> in the request.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Q: Can I run this without Docker?</w:t>
      </w:r>
      <w:r>
        <w:rPr/>
        <w:br/>
        <w:t>A: Absolutely – see the local setup instructions above. You’ll need Python and Node running separately.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Summary</w:t>
      </w:r>
    </w:p>
    <w:p>
      <w:pPr>
        <w:pStyle w:val="Normal"/>
        <w:spacing w:before="0" w:after="240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10"/>
        <w:gridCol w:w="5416"/>
      </w:tblGrid>
      <w:tr>
        <w:trPr>
          <w:tblHeader w:val="true"/>
        </w:trPr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Feature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</w:rPr>
              <w:t>Benefit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Hybrid retrieval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Finds both exact terms and conceptual matches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Intent classifier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Saves cost &amp; time on greetings / off</w:t>
              <w:noBreakHyphen/>
              <w:t>topic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Dynamic k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Right amount of context for every question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Disk</w:t>
              <w:noBreakHyphen/>
              <w:t>cached Whoosh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Fast restarts even with huge transcripts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Numbered citations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Every answer is traceable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/meeting</w:t>
            </w:r>
            <w:r>
              <w:rPr/>
              <w:t xml:space="preserve"> override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Never locked out by misclassification</w:t>
            </w:r>
          </w:p>
        </w:tc>
      </w:tr>
      <w:tr>
        <w:trPr/>
        <w:tc>
          <w:tcPr>
            <w:tcW w:w="3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LangGraph</w:t>
            </w:r>
          </w:p>
        </w:tc>
        <w:tc>
          <w:tcPr>
            <w:tcW w:w="5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Easy to extend without refactoring</w:t>
            </w:r>
          </w:p>
        </w:tc>
      </w:tr>
    </w:tbl>
    <w:p>
      <w:pPr>
        <w:pStyle w:val="Normal"/>
        <w:spacing w:before="240" w:after="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i/>
          <w:iCs/>
        </w:rPr>
        <w:t>This guide covers version 1.1 of the Meeting Transcript RAG System. For advanced usage (custom embeddings, multi</w:t>
        <w:noBreakHyphen/>
        <w:t>meeting routing, or adding new intent types), refer to the source code comments in `rag_engine.py` and `graph.py`.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LibreOffice/25.8.6.2$Linux_X86_64 LibreOffice_project/580$Build-2</Application>
  <AppVersion>15.0000</AppVersion>
  <Pages>10</Pages>
  <Words>1302</Words>
  <Characters>7197</Characters>
  <CharactersWithSpaces>9304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2026-04-25T15:12:46Z</dcterms:created>
  <dc:creator>Un-named</dc:creator>
  <dc:description/>
  <dc:language>en-US</dc:language>
  <cp:lastModifiedBy/>
  <dcterms:modified xsi:type="dcterms:W3CDTF">2026-04-25T21:04:20Z</dcterms:modified>
  <cp:revision>2</cp:revision>
  <dc:subject/>
  <dc:title/>
</cp:coreProperties>
</file>